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BF83D">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825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0105FF9E">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0E9FEEB8">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t8zXHXAAAACAEAAA8AAAAAAAAAAQAgAAAA&#10;IgAAAGRycy9kb3ducmV2LnhtbFBLAQIUABQAAAAIAIdO4kA87DHxDAIAAEYEAAAOAAAAAAAAAAEA&#10;IAAAACYBAABkcnMvZTJvRG9jLnhtbFBLBQYAAAAABgAGAFkBAACkBQAAAAA=&#10;">
                <v:fill on="t" focussize="0,0"/>
                <v:stroke color="#FFFFFF" joinstyle="miter"/>
                <v:imagedata o:title=""/>
                <o:lock v:ext="edit" aspectratio="f"/>
                <v:textbox>
                  <w:txbxContent>
                    <w:p w14:paraId="0105FF9E">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0E9FEEB8">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153F0C9">
      <w:pPr>
        <w:ind w:left="682" w:leftChars="-203" w:hanging="1108" w:hangingChars="154"/>
        <w:rPr>
          <w:sz w:val="72"/>
          <w:szCs w:val="72"/>
        </w:rPr>
      </w:pPr>
    </w:p>
    <w:p w14:paraId="09EA4942">
      <w:pPr>
        <w:adjustRightInd w:val="0"/>
        <w:snapToGrid w:val="0"/>
        <w:spacing w:line="300" w:lineRule="auto"/>
        <w:jc w:val="left"/>
        <w:rPr>
          <w:b/>
          <w:bCs/>
          <w:snapToGrid w:val="0"/>
          <w:kern w:val="0"/>
          <w:sz w:val="28"/>
          <w:szCs w:val="28"/>
        </w:rPr>
      </w:pPr>
    </w:p>
    <w:p w14:paraId="1429D9F8">
      <w:pPr>
        <w:adjustRightInd w:val="0"/>
        <w:snapToGrid w:val="0"/>
        <w:spacing w:line="300" w:lineRule="auto"/>
        <w:jc w:val="left"/>
        <w:rPr>
          <w:b/>
          <w:bCs/>
          <w:snapToGrid w:val="0"/>
          <w:kern w:val="0"/>
          <w:sz w:val="28"/>
          <w:szCs w:val="28"/>
        </w:rPr>
      </w:pPr>
    </w:p>
    <w:p w14:paraId="6AE4832B">
      <w:pPr>
        <w:pStyle w:val="21"/>
        <w:rPr>
          <w:sz w:val="84"/>
          <w:szCs w:val="84"/>
        </w:rPr>
      </w:pPr>
      <w:r>
        <w:rPr>
          <w:rFonts w:hint="eastAsia"/>
          <w:sz w:val="84"/>
          <w:szCs w:val="84"/>
        </w:rPr>
        <w:t>皇岗海关新皇岗口岸手持式化学探测器采购项目</w:t>
      </w:r>
    </w:p>
    <w:p w14:paraId="1FD72B8F">
      <w:pPr>
        <w:pStyle w:val="47"/>
      </w:pPr>
    </w:p>
    <w:p w14:paraId="0FF7B906"/>
    <w:p w14:paraId="31453825"/>
    <w:p w14:paraId="4943D7C7"/>
    <w:p w14:paraId="23F5A742">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3412C364">
      <w:pPr>
        <w:adjustRightInd w:val="0"/>
        <w:snapToGrid w:val="0"/>
        <w:spacing w:line="300" w:lineRule="auto"/>
        <w:jc w:val="center"/>
        <w:rPr>
          <w:rFonts w:ascii="经典等线简" w:eastAsia="经典等线简"/>
          <w:b/>
          <w:snapToGrid w:val="0"/>
          <w:kern w:val="0"/>
          <w:sz w:val="32"/>
        </w:rPr>
      </w:pPr>
    </w:p>
    <w:p w14:paraId="6EB9ED41">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项目编号：SZZZ2026-QA0042</w:t>
      </w:r>
    </w:p>
    <w:p w14:paraId="5FA577AC">
      <w:pPr>
        <w:adjustRightInd w:val="0"/>
        <w:snapToGrid w:val="0"/>
        <w:spacing w:line="300" w:lineRule="auto"/>
        <w:jc w:val="center"/>
        <w:rPr>
          <w:rFonts w:ascii="经典等线简" w:eastAsia="经典等线简"/>
          <w:b/>
          <w:snapToGrid w:val="0"/>
          <w:kern w:val="0"/>
          <w:sz w:val="18"/>
          <w:szCs w:val="18"/>
        </w:rPr>
      </w:pPr>
    </w:p>
    <w:p w14:paraId="19E72A70">
      <w:pPr>
        <w:adjustRightInd w:val="0"/>
        <w:snapToGrid w:val="0"/>
        <w:spacing w:line="300" w:lineRule="auto"/>
        <w:jc w:val="center"/>
        <w:rPr>
          <w:rFonts w:eastAsia="经典标宋简"/>
          <w:b/>
          <w:snapToGrid w:val="0"/>
          <w:kern w:val="0"/>
          <w:sz w:val="44"/>
        </w:rPr>
      </w:pPr>
    </w:p>
    <w:p w14:paraId="77182738">
      <w:pPr>
        <w:adjustRightInd w:val="0"/>
        <w:snapToGrid w:val="0"/>
        <w:spacing w:line="300" w:lineRule="auto"/>
        <w:jc w:val="center"/>
        <w:rPr>
          <w:rFonts w:eastAsia="经典标宋简"/>
          <w:b/>
          <w:snapToGrid w:val="0"/>
          <w:kern w:val="0"/>
          <w:sz w:val="44"/>
        </w:rPr>
      </w:pPr>
    </w:p>
    <w:p w14:paraId="28B264FD">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38220DBF">
      <w:pPr>
        <w:pStyle w:val="29"/>
        <w:adjustRightInd w:val="0"/>
        <w:snapToGrid w:val="0"/>
        <w:spacing w:line="300" w:lineRule="auto"/>
        <w:jc w:val="center"/>
        <w:rPr>
          <w:rFonts w:ascii="Times New Roman" w:hAnsi="Times New Roman" w:eastAsia="经典等线简"/>
          <w:b/>
          <w:snapToGrid w:val="0"/>
          <w:sz w:val="30"/>
        </w:rPr>
      </w:pPr>
    </w:p>
    <w:p w14:paraId="1C908C1D"/>
    <w:p w14:paraId="0DC13028"/>
    <w:p w14:paraId="1070B448">
      <w:pPr>
        <w:pStyle w:val="29"/>
        <w:adjustRightInd w:val="0"/>
        <w:snapToGrid w:val="0"/>
        <w:spacing w:line="300" w:lineRule="auto"/>
        <w:ind w:hanging="835"/>
        <w:jc w:val="center"/>
      </w:pPr>
      <w:r>
        <w:rPr>
          <w:rFonts w:hint="eastAsia"/>
          <w:b/>
          <w:snapToGrid w:val="0"/>
          <w:sz w:val="30"/>
        </w:rPr>
        <w:t>二〇二六年</w:t>
      </w:r>
    </w:p>
    <w:sdt>
      <w:sdtPr>
        <w:rPr>
          <w:rFonts w:ascii="Times New Roman" w:hAnsi="Times New Roman" w:eastAsia="宋体" w:cs="Times New Roman"/>
          <w:b w:val="0"/>
          <w:bCs w:val="0"/>
          <w:smallCaps/>
          <w:kern w:val="2"/>
          <w:sz w:val="21"/>
          <w:szCs w:val="24"/>
          <w:lang w:val="en-US"/>
        </w:rPr>
        <w:id w:val="11733101"/>
        <w:docPartObj>
          <w:docPartGallery w:val="Table of Contents"/>
          <w:docPartUnique/>
        </w:docPartObj>
      </w:sdtPr>
      <w:sdtEndPr>
        <w:rPr>
          <w:rFonts w:hint="eastAsia" w:ascii="仿宋" w:hAnsi="仿宋" w:eastAsia="仿宋" w:cs="仿宋"/>
          <w:b w:val="0"/>
          <w:bCs w:val="0"/>
          <w:smallCaps/>
          <w:kern w:val="2"/>
          <w:sz w:val="24"/>
          <w:szCs w:val="24"/>
          <w:lang w:val="en-US"/>
        </w:rPr>
      </w:sdtEndPr>
      <w:sdtContent>
        <w:p w14:paraId="489E472D">
          <w:pPr>
            <w:pStyle w:val="506"/>
            <w:rPr>
              <w:kern w:val="2"/>
            </w:rPr>
          </w:pPr>
        </w:p>
        <w:p w14:paraId="308C0CA4">
          <w:pPr>
            <w:pStyle w:val="506"/>
          </w:pPr>
          <w:r>
            <w:t>目</w:t>
          </w:r>
          <w:r>
            <w:rPr>
              <w:rFonts w:hint="eastAsia"/>
            </w:rPr>
            <w:t xml:space="preserve">  </w:t>
          </w:r>
          <w:r>
            <w:t>录</w:t>
          </w:r>
        </w:p>
        <w:p w14:paraId="267C92B0">
          <w:pPr>
            <w:pStyle w:val="35"/>
            <w:tabs>
              <w:tab w:val="right" w:leader="dot" w:pos="9638"/>
            </w:tabs>
            <w:rPr>
              <w:rFonts w:ascii="仿宋" w:hAnsi="仿宋" w:eastAsia="仿宋" w:cs="仿宋"/>
              <w:sz w:val="24"/>
            </w:rPr>
          </w:pPr>
        </w:p>
        <w:p w14:paraId="58DB63D4">
          <w:pPr>
            <w:pStyle w:val="35"/>
            <w:tabs>
              <w:tab w:val="right" w:leader="dot" w:pos="9638"/>
            </w:tabs>
            <w:rPr>
              <w:rFonts w:ascii="仿宋" w:hAnsi="仿宋" w:eastAsia="仿宋" w:cs="仿宋"/>
              <w:sz w:val="24"/>
            </w:rPr>
          </w:pPr>
          <w:r>
            <w:rPr>
              <w:rFonts w:hint="eastAsia" w:ascii="仿宋" w:hAnsi="仿宋" w:eastAsia="仿宋" w:cs="仿宋"/>
              <w:sz w:val="24"/>
            </w:rPr>
            <w:fldChar w:fldCharType="begin"/>
          </w:r>
          <w:r>
            <w:rPr>
              <w:rFonts w:hint="eastAsia" w:ascii="仿宋" w:hAnsi="仿宋" w:eastAsia="仿宋" w:cs="仿宋"/>
              <w:sz w:val="24"/>
            </w:rPr>
            <w:instrText xml:space="preserve"> TOC \o "1-3" \h \z \u </w:instrText>
          </w:r>
          <w:r>
            <w:rPr>
              <w:rFonts w:hint="eastAsia" w:ascii="仿宋" w:hAnsi="仿宋" w:eastAsia="仿宋" w:cs="仿宋"/>
              <w:sz w:val="24"/>
            </w:rPr>
            <w:fldChar w:fldCharType="separate"/>
          </w:r>
          <w:r>
            <w:fldChar w:fldCharType="begin"/>
          </w:r>
          <w:r>
            <w:instrText xml:space="preserve"> HYPERLINK \l "_Toc24386" </w:instrText>
          </w:r>
          <w:r>
            <w:fldChar w:fldCharType="separate"/>
          </w:r>
          <w:r>
            <w:rPr>
              <w:rFonts w:hint="eastAsia" w:ascii="仿宋" w:hAnsi="仿宋" w:eastAsia="仿宋" w:cs="仿宋"/>
              <w:sz w:val="24"/>
            </w:rPr>
            <w:t>招标文件第一册（专用部分）</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_Toc24386 \h </w:instrText>
          </w:r>
          <w:r>
            <w:rPr>
              <w:rFonts w:hint="eastAsia" w:ascii="仿宋" w:hAnsi="仿宋" w:eastAsia="仿宋" w:cs="仿宋"/>
              <w:sz w:val="24"/>
            </w:rPr>
            <w:fldChar w:fldCharType="separate"/>
          </w:r>
          <w:r>
            <w:rPr>
              <w:rFonts w:hint="eastAsia" w:ascii="仿宋" w:hAnsi="仿宋" w:eastAsia="仿宋" w:cs="仿宋"/>
              <w:sz w:val="24"/>
            </w:rPr>
            <w:t>3</w:t>
          </w:r>
          <w:r>
            <w:rPr>
              <w:rFonts w:hint="eastAsia" w:ascii="仿宋" w:hAnsi="仿宋" w:eastAsia="仿宋" w:cs="仿宋"/>
              <w:sz w:val="24"/>
            </w:rPr>
            <w:fldChar w:fldCharType="end"/>
          </w:r>
          <w:r>
            <w:rPr>
              <w:rFonts w:hint="eastAsia" w:ascii="仿宋" w:hAnsi="仿宋" w:eastAsia="仿宋" w:cs="仿宋"/>
              <w:sz w:val="24"/>
            </w:rPr>
            <w:fldChar w:fldCharType="end"/>
          </w:r>
        </w:p>
        <w:p w14:paraId="629CE1B6">
          <w:pPr>
            <w:pStyle w:val="35"/>
            <w:tabs>
              <w:tab w:val="right" w:leader="dot" w:pos="9638"/>
            </w:tabs>
            <w:rPr>
              <w:rFonts w:ascii="仿宋" w:hAnsi="仿宋" w:eastAsia="仿宋" w:cs="仿宋"/>
              <w:sz w:val="24"/>
            </w:rPr>
          </w:pPr>
          <w:r>
            <w:fldChar w:fldCharType="begin"/>
          </w:r>
          <w:r>
            <w:instrText xml:space="preserve"> HYPERLINK \l "_Toc907" </w:instrText>
          </w:r>
          <w:r>
            <w:fldChar w:fldCharType="separate"/>
          </w:r>
          <w:r>
            <w:rPr>
              <w:rFonts w:hint="eastAsia" w:ascii="仿宋" w:hAnsi="仿宋" w:eastAsia="仿宋" w:cs="仿宋"/>
              <w:sz w:val="24"/>
            </w:rPr>
            <w:t>第一章  投标邀请</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_Toc907 \h </w:instrText>
          </w:r>
          <w:r>
            <w:rPr>
              <w:rFonts w:hint="eastAsia" w:ascii="仿宋" w:hAnsi="仿宋" w:eastAsia="仿宋" w:cs="仿宋"/>
              <w:sz w:val="24"/>
            </w:rPr>
            <w:fldChar w:fldCharType="separate"/>
          </w:r>
          <w:r>
            <w:rPr>
              <w:rFonts w:hint="eastAsia" w:ascii="仿宋" w:hAnsi="仿宋" w:eastAsia="仿宋" w:cs="仿宋"/>
              <w:sz w:val="24"/>
            </w:rPr>
            <w:t>3</w:t>
          </w:r>
          <w:r>
            <w:rPr>
              <w:rFonts w:hint="eastAsia" w:ascii="仿宋" w:hAnsi="仿宋" w:eastAsia="仿宋" w:cs="仿宋"/>
              <w:sz w:val="24"/>
            </w:rPr>
            <w:fldChar w:fldCharType="end"/>
          </w:r>
          <w:r>
            <w:rPr>
              <w:rFonts w:hint="eastAsia" w:ascii="仿宋" w:hAnsi="仿宋" w:eastAsia="仿宋" w:cs="仿宋"/>
              <w:sz w:val="24"/>
            </w:rPr>
            <w:fldChar w:fldCharType="end"/>
          </w:r>
        </w:p>
        <w:p w14:paraId="59602250">
          <w:pPr>
            <w:pStyle w:val="35"/>
            <w:tabs>
              <w:tab w:val="right" w:leader="dot" w:pos="9638"/>
            </w:tabs>
            <w:rPr>
              <w:rFonts w:ascii="仿宋" w:hAnsi="仿宋" w:eastAsia="仿宋" w:cs="仿宋"/>
              <w:sz w:val="24"/>
            </w:rPr>
          </w:pPr>
          <w:r>
            <w:fldChar w:fldCharType="begin"/>
          </w:r>
          <w:r>
            <w:instrText xml:space="preserve"> HYPERLINK \l "_Toc32052" </w:instrText>
          </w:r>
          <w:r>
            <w:fldChar w:fldCharType="separate"/>
          </w:r>
          <w:r>
            <w:rPr>
              <w:rFonts w:hint="eastAsia" w:ascii="仿宋" w:hAnsi="仿宋" w:eastAsia="仿宋" w:cs="仿宋"/>
              <w:sz w:val="24"/>
            </w:rPr>
            <w:t>第二章  项目需求</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_Toc32052 \h </w:instrText>
          </w:r>
          <w:r>
            <w:rPr>
              <w:rFonts w:hint="eastAsia" w:ascii="仿宋" w:hAnsi="仿宋" w:eastAsia="仿宋" w:cs="仿宋"/>
              <w:sz w:val="24"/>
            </w:rPr>
            <w:fldChar w:fldCharType="separate"/>
          </w:r>
          <w:r>
            <w:rPr>
              <w:rFonts w:hint="eastAsia" w:ascii="仿宋" w:hAnsi="仿宋" w:eastAsia="仿宋" w:cs="仿宋"/>
              <w:sz w:val="24"/>
            </w:rPr>
            <w:t>7</w:t>
          </w:r>
          <w:r>
            <w:rPr>
              <w:rFonts w:hint="eastAsia" w:ascii="仿宋" w:hAnsi="仿宋" w:eastAsia="仿宋" w:cs="仿宋"/>
              <w:sz w:val="24"/>
            </w:rPr>
            <w:fldChar w:fldCharType="end"/>
          </w:r>
          <w:r>
            <w:rPr>
              <w:rFonts w:hint="eastAsia" w:ascii="仿宋" w:hAnsi="仿宋" w:eastAsia="仿宋" w:cs="仿宋"/>
              <w:sz w:val="24"/>
            </w:rPr>
            <w:fldChar w:fldCharType="end"/>
          </w:r>
        </w:p>
        <w:p w14:paraId="659C77CD">
          <w:pPr>
            <w:pStyle w:val="35"/>
            <w:tabs>
              <w:tab w:val="right" w:leader="dot" w:pos="9638"/>
            </w:tabs>
            <w:rPr>
              <w:rFonts w:ascii="仿宋" w:hAnsi="仿宋" w:eastAsia="仿宋" w:cs="仿宋"/>
              <w:sz w:val="24"/>
            </w:rPr>
          </w:pPr>
          <w:r>
            <w:fldChar w:fldCharType="begin"/>
          </w:r>
          <w:r>
            <w:instrText xml:space="preserve"> HYPERLINK \l "_Toc5084" </w:instrText>
          </w:r>
          <w:r>
            <w:fldChar w:fldCharType="separate"/>
          </w:r>
          <w:r>
            <w:rPr>
              <w:rFonts w:hint="eastAsia" w:ascii="仿宋" w:hAnsi="仿宋" w:eastAsia="仿宋" w:cs="仿宋"/>
              <w:sz w:val="24"/>
            </w:rPr>
            <w:t>第三章  投标审查和评标方法</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_Toc5084 \h </w:instrText>
          </w:r>
          <w:r>
            <w:rPr>
              <w:rFonts w:hint="eastAsia" w:ascii="仿宋" w:hAnsi="仿宋" w:eastAsia="仿宋" w:cs="仿宋"/>
              <w:sz w:val="24"/>
            </w:rPr>
            <w:fldChar w:fldCharType="separate"/>
          </w:r>
          <w:r>
            <w:rPr>
              <w:rFonts w:hint="eastAsia" w:ascii="仿宋" w:hAnsi="仿宋" w:eastAsia="仿宋" w:cs="仿宋"/>
              <w:sz w:val="24"/>
            </w:rPr>
            <w:t>13</w:t>
          </w:r>
          <w:r>
            <w:rPr>
              <w:rFonts w:hint="eastAsia" w:ascii="仿宋" w:hAnsi="仿宋" w:eastAsia="仿宋" w:cs="仿宋"/>
              <w:sz w:val="24"/>
            </w:rPr>
            <w:fldChar w:fldCharType="end"/>
          </w:r>
          <w:r>
            <w:rPr>
              <w:rFonts w:hint="eastAsia" w:ascii="仿宋" w:hAnsi="仿宋" w:eastAsia="仿宋" w:cs="仿宋"/>
              <w:sz w:val="24"/>
            </w:rPr>
            <w:fldChar w:fldCharType="end"/>
          </w:r>
        </w:p>
        <w:p w14:paraId="774D477E">
          <w:pPr>
            <w:pStyle w:val="42"/>
            <w:tabs>
              <w:tab w:val="right" w:leader="dot" w:pos="9638"/>
            </w:tabs>
            <w:rPr>
              <w:rFonts w:ascii="仿宋" w:hAnsi="仿宋" w:eastAsia="仿宋" w:cs="仿宋"/>
              <w:sz w:val="24"/>
            </w:rPr>
          </w:pPr>
          <w:r>
            <w:fldChar w:fldCharType="begin"/>
          </w:r>
          <w:r>
            <w:instrText xml:space="preserve"> HYPERLINK \l "_Toc24426" </w:instrText>
          </w:r>
          <w:r>
            <w:fldChar w:fldCharType="separate"/>
          </w:r>
          <w:r>
            <w:rPr>
              <w:rFonts w:hint="eastAsia" w:ascii="仿宋" w:hAnsi="仿宋" w:eastAsia="仿宋" w:cs="仿宋"/>
              <w:bCs/>
              <w:sz w:val="24"/>
            </w:rPr>
            <w:t>一、资格性审查和符合性审查</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_Toc24426 \h </w:instrText>
          </w:r>
          <w:r>
            <w:rPr>
              <w:rFonts w:hint="eastAsia" w:ascii="仿宋" w:hAnsi="仿宋" w:eastAsia="仿宋" w:cs="仿宋"/>
              <w:sz w:val="24"/>
            </w:rPr>
            <w:fldChar w:fldCharType="separate"/>
          </w:r>
          <w:r>
            <w:rPr>
              <w:rFonts w:hint="eastAsia" w:ascii="仿宋" w:hAnsi="仿宋" w:eastAsia="仿宋" w:cs="仿宋"/>
              <w:sz w:val="24"/>
            </w:rPr>
            <w:t>13</w:t>
          </w:r>
          <w:r>
            <w:rPr>
              <w:rFonts w:hint="eastAsia" w:ascii="仿宋" w:hAnsi="仿宋" w:eastAsia="仿宋" w:cs="仿宋"/>
              <w:sz w:val="24"/>
            </w:rPr>
            <w:fldChar w:fldCharType="end"/>
          </w:r>
          <w:r>
            <w:rPr>
              <w:rFonts w:hint="eastAsia" w:ascii="仿宋" w:hAnsi="仿宋" w:eastAsia="仿宋" w:cs="仿宋"/>
              <w:sz w:val="24"/>
            </w:rPr>
            <w:fldChar w:fldCharType="end"/>
          </w:r>
        </w:p>
        <w:p w14:paraId="245A0330">
          <w:pPr>
            <w:pStyle w:val="42"/>
            <w:tabs>
              <w:tab w:val="right" w:leader="dot" w:pos="9638"/>
            </w:tabs>
            <w:rPr>
              <w:rFonts w:ascii="仿宋" w:hAnsi="仿宋" w:eastAsia="仿宋" w:cs="仿宋"/>
              <w:sz w:val="24"/>
            </w:rPr>
          </w:pPr>
          <w:r>
            <w:fldChar w:fldCharType="begin"/>
          </w:r>
          <w:r>
            <w:instrText xml:space="preserve"> HYPERLINK \l "_Toc16098" </w:instrText>
          </w:r>
          <w:r>
            <w:fldChar w:fldCharType="separate"/>
          </w:r>
          <w:r>
            <w:rPr>
              <w:rFonts w:hint="eastAsia" w:ascii="仿宋" w:hAnsi="仿宋" w:eastAsia="仿宋" w:cs="仿宋"/>
              <w:bCs/>
              <w:sz w:val="24"/>
            </w:rPr>
            <w:t>二、评标方法</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_Toc16098 \h </w:instrText>
          </w:r>
          <w:r>
            <w:rPr>
              <w:rFonts w:hint="eastAsia" w:ascii="仿宋" w:hAnsi="仿宋" w:eastAsia="仿宋" w:cs="仿宋"/>
              <w:sz w:val="24"/>
            </w:rPr>
            <w:fldChar w:fldCharType="separate"/>
          </w:r>
          <w:r>
            <w:rPr>
              <w:rFonts w:hint="eastAsia" w:ascii="仿宋" w:hAnsi="仿宋" w:eastAsia="仿宋" w:cs="仿宋"/>
              <w:sz w:val="24"/>
            </w:rPr>
            <w:t>15</w:t>
          </w:r>
          <w:r>
            <w:rPr>
              <w:rFonts w:hint="eastAsia" w:ascii="仿宋" w:hAnsi="仿宋" w:eastAsia="仿宋" w:cs="仿宋"/>
              <w:sz w:val="24"/>
            </w:rPr>
            <w:fldChar w:fldCharType="end"/>
          </w:r>
          <w:r>
            <w:rPr>
              <w:rFonts w:hint="eastAsia" w:ascii="仿宋" w:hAnsi="仿宋" w:eastAsia="仿宋" w:cs="仿宋"/>
              <w:sz w:val="24"/>
            </w:rPr>
            <w:fldChar w:fldCharType="end"/>
          </w:r>
        </w:p>
        <w:p w14:paraId="71459543">
          <w:pPr>
            <w:pStyle w:val="42"/>
            <w:tabs>
              <w:tab w:val="right" w:leader="dot" w:pos="9638"/>
            </w:tabs>
            <w:rPr>
              <w:rFonts w:ascii="仿宋" w:hAnsi="仿宋" w:eastAsia="仿宋" w:cs="仿宋"/>
              <w:sz w:val="24"/>
            </w:rPr>
          </w:pPr>
          <w:r>
            <w:fldChar w:fldCharType="begin"/>
          </w:r>
          <w:r>
            <w:instrText xml:space="preserve"> HYPERLINK \l "_Toc18434" </w:instrText>
          </w:r>
          <w:r>
            <w:fldChar w:fldCharType="separate"/>
          </w:r>
          <w:r>
            <w:rPr>
              <w:rFonts w:hint="eastAsia" w:ascii="仿宋" w:hAnsi="仿宋" w:eastAsia="仿宋" w:cs="仿宋"/>
              <w:bCs/>
              <w:sz w:val="24"/>
            </w:rPr>
            <w:t>三、评标标准</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_Toc18434 \h </w:instrText>
          </w:r>
          <w:r>
            <w:rPr>
              <w:rFonts w:hint="eastAsia" w:ascii="仿宋" w:hAnsi="仿宋" w:eastAsia="仿宋" w:cs="仿宋"/>
              <w:sz w:val="24"/>
            </w:rPr>
            <w:fldChar w:fldCharType="separate"/>
          </w:r>
          <w:r>
            <w:rPr>
              <w:rFonts w:hint="eastAsia" w:ascii="仿宋" w:hAnsi="仿宋" w:eastAsia="仿宋" w:cs="仿宋"/>
              <w:sz w:val="24"/>
            </w:rPr>
            <w:t>15</w:t>
          </w:r>
          <w:r>
            <w:rPr>
              <w:rFonts w:hint="eastAsia" w:ascii="仿宋" w:hAnsi="仿宋" w:eastAsia="仿宋" w:cs="仿宋"/>
              <w:sz w:val="24"/>
            </w:rPr>
            <w:fldChar w:fldCharType="end"/>
          </w:r>
          <w:r>
            <w:rPr>
              <w:rFonts w:hint="eastAsia" w:ascii="仿宋" w:hAnsi="仿宋" w:eastAsia="仿宋" w:cs="仿宋"/>
              <w:sz w:val="24"/>
            </w:rPr>
            <w:fldChar w:fldCharType="end"/>
          </w:r>
        </w:p>
        <w:p w14:paraId="7D827E6B">
          <w:pPr>
            <w:pStyle w:val="35"/>
            <w:tabs>
              <w:tab w:val="right" w:leader="dot" w:pos="9638"/>
            </w:tabs>
            <w:rPr>
              <w:rFonts w:ascii="仿宋" w:hAnsi="仿宋" w:eastAsia="仿宋" w:cs="仿宋"/>
              <w:sz w:val="24"/>
            </w:rPr>
          </w:pPr>
          <w:r>
            <w:fldChar w:fldCharType="begin"/>
          </w:r>
          <w:r>
            <w:instrText xml:space="preserve"> HYPERLINK \l "_Toc6265" </w:instrText>
          </w:r>
          <w:r>
            <w:fldChar w:fldCharType="separate"/>
          </w:r>
          <w:r>
            <w:rPr>
              <w:rFonts w:hint="eastAsia" w:ascii="仿宋" w:hAnsi="仿宋" w:eastAsia="仿宋" w:cs="仿宋"/>
              <w:sz w:val="24"/>
            </w:rPr>
            <w:t>第四章  合同文本</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_Toc6265 \h </w:instrText>
          </w:r>
          <w:r>
            <w:rPr>
              <w:rFonts w:hint="eastAsia" w:ascii="仿宋" w:hAnsi="仿宋" w:eastAsia="仿宋" w:cs="仿宋"/>
              <w:sz w:val="24"/>
            </w:rPr>
            <w:fldChar w:fldCharType="separate"/>
          </w:r>
          <w:r>
            <w:rPr>
              <w:rFonts w:hint="eastAsia" w:ascii="仿宋" w:hAnsi="仿宋" w:eastAsia="仿宋" w:cs="仿宋"/>
              <w:sz w:val="24"/>
            </w:rPr>
            <w:t>20</w:t>
          </w:r>
          <w:r>
            <w:rPr>
              <w:rFonts w:hint="eastAsia" w:ascii="仿宋" w:hAnsi="仿宋" w:eastAsia="仿宋" w:cs="仿宋"/>
              <w:sz w:val="24"/>
            </w:rPr>
            <w:fldChar w:fldCharType="end"/>
          </w:r>
          <w:r>
            <w:rPr>
              <w:rFonts w:hint="eastAsia" w:ascii="仿宋" w:hAnsi="仿宋" w:eastAsia="仿宋" w:cs="仿宋"/>
              <w:sz w:val="24"/>
            </w:rPr>
            <w:fldChar w:fldCharType="end"/>
          </w:r>
        </w:p>
        <w:p w14:paraId="10AB9A5B">
          <w:pPr>
            <w:pStyle w:val="35"/>
            <w:tabs>
              <w:tab w:val="right" w:leader="dot" w:pos="9638"/>
            </w:tabs>
            <w:rPr>
              <w:rFonts w:ascii="仿宋" w:hAnsi="仿宋" w:eastAsia="仿宋" w:cs="仿宋"/>
              <w:sz w:val="24"/>
            </w:rPr>
          </w:pPr>
          <w:r>
            <w:fldChar w:fldCharType="begin"/>
          </w:r>
          <w:r>
            <w:instrText xml:space="preserve"> HYPERLINK \l "_Toc16121" </w:instrText>
          </w:r>
          <w:r>
            <w:fldChar w:fldCharType="separate"/>
          </w:r>
          <w:r>
            <w:rPr>
              <w:rFonts w:hint="eastAsia" w:ascii="仿宋" w:hAnsi="仿宋" w:eastAsia="仿宋" w:cs="仿宋"/>
              <w:sz w:val="24"/>
            </w:rPr>
            <w:t>第五章  投标资料表</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_Toc16121 \h </w:instrText>
          </w:r>
          <w:r>
            <w:rPr>
              <w:rFonts w:hint="eastAsia" w:ascii="仿宋" w:hAnsi="仿宋" w:eastAsia="仿宋" w:cs="仿宋"/>
              <w:sz w:val="24"/>
            </w:rPr>
            <w:fldChar w:fldCharType="separate"/>
          </w:r>
          <w:r>
            <w:rPr>
              <w:rFonts w:hint="eastAsia" w:ascii="仿宋" w:hAnsi="仿宋" w:eastAsia="仿宋" w:cs="仿宋"/>
              <w:sz w:val="24"/>
            </w:rPr>
            <w:t>31</w:t>
          </w:r>
          <w:r>
            <w:rPr>
              <w:rFonts w:hint="eastAsia" w:ascii="仿宋" w:hAnsi="仿宋" w:eastAsia="仿宋" w:cs="仿宋"/>
              <w:sz w:val="24"/>
            </w:rPr>
            <w:fldChar w:fldCharType="end"/>
          </w:r>
          <w:r>
            <w:rPr>
              <w:rFonts w:hint="eastAsia" w:ascii="仿宋" w:hAnsi="仿宋" w:eastAsia="仿宋" w:cs="仿宋"/>
              <w:sz w:val="24"/>
            </w:rPr>
            <w:fldChar w:fldCharType="end"/>
          </w:r>
        </w:p>
        <w:p w14:paraId="0CFD05FA">
          <w:pPr>
            <w:pStyle w:val="35"/>
            <w:tabs>
              <w:tab w:val="right" w:leader="dot" w:pos="9638"/>
            </w:tabs>
            <w:rPr>
              <w:rFonts w:ascii="仿宋" w:hAnsi="仿宋" w:eastAsia="仿宋" w:cs="仿宋"/>
              <w:sz w:val="24"/>
            </w:rPr>
          </w:pPr>
          <w:r>
            <w:fldChar w:fldCharType="begin"/>
          </w:r>
          <w:r>
            <w:instrText xml:space="preserve"> HYPERLINK \l "_Toc32719" </w:instrText>
          </w:r>
          <w:r>
            <w:fldChar w:fldCharType="separate"/>
          </w:r>
          <w:r>
            <w:rPr>
              <w:rFonts w:hint="eastAsia" w:ascii="仿宋" w:hAnsi="仿宋" w:eastAsia="仿宋" w:cs="仿宋"/>
              <w:sz w:val="24"/>
            </w:rPr>
            <w:t>第六章  投标文件格式</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_Toc32719 \h </w:instrText>
          </w:r>
          <w:r>
            <w:rPr>
              <w:rFonts w:hint="eastAsia" w:ascii="仿宋" w:hAnsi="仿宋" w:eastAsia="仿宋" w:cs="仿宋"/>
              <w:sz w:val="24"/>
            </w:rPr>
            <w:fldChar w:fldCharType="separate"/>
          </w:r>
          <w:r>
            <w:rPr>
              <w:rFonts w:hint="eastAsia" w:ascii="仿宋" w:hAnsi="仿宋" w:eastAsia="仿宋" w:cs="仿宋"/>
              <w:sz w:val="24"/>
            </w:rPr>
            <w:t>32</w:t>
          </w:r>
          <w:r>
            <w:rPr>
              <w:rFonts w:hint="eastAsia" w:ascii="仿宋" w:hAnsi="仿宋" w:eastAsia="仿宋" w:cs="仿宋"/>
              <w:sz w:val="24"/>
            </w:rPr>
            <w:fldChar w:fldCharType="end"/>
          </w:r>
          <w:r>
            <w:rPr>
              <w:rFonts w:hint="eastAsia" w:ascii="仿宋" w:hAnsi="仿宋" w:eastAsia="仿宋" w:cs="仿宋"/>
              <w:sz w:val="24"/>
            </w:rPr>
            <w:fldChar w:fldCharType="end"/>
          </w:r>
        </w:p>
        <w:p w14:paraId="67B01C49">
          <w:pPr>
            <w:pStyle w:val="42"/>
            <w:tabs>
              <w:tab w:val="right" w:leader="dot" w:pos="9638"/>
            </w:tabs>
            <w:rPr>
              <w:rFonts w:ascii="仿宋" w:hAnsi="仿宋" w:eastAsia="仿宋" w:cs="仿宋"/>
              <w:sz w:val="24"/>
            </w:rPr>
          </w:pPr>
          <w:r>
            <w:fldChar w:fldCharType="begin"/>
          </w:r>
          <w:r>
            <w:instrText xml:space="preserve"> HYPERLINK \l "_Toc12033" </w:instrText>
          </w:r>
          <w:r>
            <w:fldChar w:fldCharType="separate"/>
          </w:r>
          <w:r>
            <w:rPr>
              <w:rFonts w:hint="eastAsia" w:ascii="仿宋" w:hAnsi="仿宋" w:eastAsia="仿宋" w:cs="仿宋"/>
              <w:bCs/>
              <w:sz w:val="24"/>
            </w:rPr>
            <w:t>投标文件编制说明</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_Toc12033 \h </w:instrText>
          </w:r>
          <w:r>
            <w:rPr>
              <w:rFonts w:hint="eastAsia" w:ascii="仿宋" w:hAnsi="仿宋" w:eastAsia="仿宋" w:cs="仿宋"/>
              <w:sz w:val="24"/>
            </w:rPr>
            <w:fldChar w:fldCharType="separate"/>
          </w:r>
          <w:r>
            <w:rPr>
              <w:rFonts w:hint="eastAsia" w:ascii="仿宋" w:hAnsi="仿宋" w:eastAsia="仿宋" w:cs="仿宋"/>
              <w:sz w:val="24"/>
            </w:rPr>
            <w:t>32</w:t>
          </w:r>
          <w:r>
            <w:rPr>
              <w:rFonts w:hint="eastAsia" w:ascii="仿宋" w:hAnsi="仿宋" w:eastAsia="仿宋" w:cs="仿宋"/>
              <w:sz w:val="24"/>
            </w:rPr>
            <w:fldChar w:fldCharType="end"/>
          </w:r>
          <w:r>
            <w:rPr>
              <w:rFonts w:hint="eastAsia" w:ascii="仿宋" w:hAnsi="仿宋" w:eastAsia="仿宋" w:cs="仿宋"/>
              <w:sz w:val="24"/>
            </w:rPr>
            <w:fldChar w:fldCharType="end"/>
          </w:r>
        </w:p>
        <w:p w14:paraId="4302E939">
          <w:pPr>
            <w:pStyle w:val="42"/>
            <w:tabs>
              <w:tab w:val="right" w:leader="dot" w:pos="9638"/>
            </w:tabs>
            <w:rPr>
              <w:rFonts w:ascii="仿宋" w:hAnsi="仿宋" w:eastAsia="仿宋" w:cs="仿宋"/>
              <w:sz w:val="24"/>
            </w:rPr>
          </w:pPr>
          <w:r>
            <w:fldChar w:fldCharType="begin"/>
          </w:r>
          <w:r>
            <w:instrText xml:space="preserve"> HYPERLINK \l "_Toc24638" </w:instrText>
          </w:r>
          <w:r>
            <w:fldChar w:fldCharType="separate"/>
          </w:r>
          <w:r>
            <w:rPr>
              <w:rFonts w:hint="eastAsia" w:ascii="仿宋" w:hAnsi="仿宋" w:eastAsia="仿宋" w:cs="仿宋"/>
              <w:bCs/>
              <w:sz w:val="24"/>
            </w:rPr>
            <w:t>投标文件格式</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_Toc24638 \h </w:instrText>
          </w:r>
          <w:r>
            <w:rPr>
              <w:rFonts w:hint="eastAsia" w:ascii="仿宋" w:hAnsi="仿宋" w:eastAsia="仿宋" w:cs="仿宋"/>
              <w:sz w:val="24"/>
            </w:rPr>
            <w:fldChar w:fldCharType="separate"/>
          </w:r>
          <w:r>
            <w:rPr>
              <w:rFonts w:hint="eastAsia" w:ascii="仿宋" w:hAnsi="仿宋" w:eastAsia="仿宋" w:cs="仿宋"/>
              <w:sz w:val="24"/>
            </w:rPr>
            <w:t>34</w:t>
          </w:r>
          <w:r>
            <w:rPr>
              <w:rFonts w:hint="eastAsia" w:ascii="仿宋" w:hAnsi="仿宋" w:eastAsia="仿宋" w:cs="仿宋"/>
              <w:sz w:val="24"/>
            </w:rPr>
            <w:fldChar w:fldCharType="end"/>
          </w:r>
          <w:r>
            <w:rPr>
              <w:rFonts w:hint="eastAsia" w:ascii="仿宋" w:hAnsi="仿宋" w:eastAsia="仿宋" w:cs="仿宋"/>
              <w:sz w:val="24"/>
            </w:rPr>
            <w:fldChar w:fldCharType="end"/>
          </w:r>
        </w:p>
        <w:p w14:paraId="4A53568C">
          <w:pPr>
            <w:pStyle w:val="42"/>
            <w:tabs>
              <w:tab w:val="right" w:leader="dot" w:pos="9638"/>
            </w:tabs>
            <w:rPr>
              <w:rFonts w:ascii="仿宋" w:hAnsi="仿宋" w:eastAsia="仿宋" w:cs="仿宋"/>
              <w:sz w:val="24"/>
            </w:rPr>
          </w:pPr>
          <w:r>
            <w:fldChar w:fldCharType="begin"/>
          </w:r>
          <w:r>
            <w:instrText xml:space="preserve"> HYPERLINK \l "_Toc5181" </w:instrText>
          </w:r>
          <w:r>
            <w:fldChar w:fldCharType="separate"/>
          </w:r>
          <w:r>
            <w:rPr>
              <w:rFonts w:hint="eastAsia" w:ascii="仿宋" w:hAnsi="仿宋" w:eastAsia="仿宋" w:cs="仿宋"/>
              <w:bCs/>
              <w:sz w:val="24"/>
            </w:rPr>
            <w:t>评标指引表</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_Toc5181 \h </w:instrText>
          </w:r>
          <w:r>
            <w:rPr>
              <w:rFonts w:hint="eastAsia" w:ascii="仿宋" w:hAnsi="仿宋" w:eastAsia="仿宋" w:cs="仿宋"/>
              <w:sz w:val="24"/>
            </w:rPr>
            <w:fldChar w:fldCharType="separate"/>
          </w:r>
          <w:r>
            <w:rPr>
              <w:rFonts w:hint="eastAsia" w:ascii="仿宋" w:hAnsi="仿宋" w:eastAsia="仿宋" w:cs="仿宋"/>
              <w:sz w:val="24"/>
            </w:rPr>
            <w:t>35</w:t>
          </w:r>
          <w:r>
            <w:rPr>
              <w:rFonts w:hint="eastAsia" w:ascii="仿宋" w:hAnsi="仿宋" w:eastAsia="仿宋" w:cs="仿宋"/>
              <w:sz w:val="24"/>
            </w:rPr>
            <w:fldChar w:fldCharType="end"/>
          </w:r>
          <w:r>
            <w:rPr>
              <w:rFonts w:hint="eastAsia" w:ascii="仿宋" w:hAnsi="仿宋" w:eastAsia="仿宋" w:cs="仿宋"/>
              <w:sz w:val="24"/>
            </w:rPr>
            <w:fldChar w:fldCharType="end"/>
          </w:r>
        </w:p>
        <w:p w14:paraId="38F2BC14">
          <w:pPr>
            <w:pStyle w:val="8"/>
            <w:tabs>
              <w:tab w:val="right" w:leader="dot" w:pos="9638"/>
            </w:tabs>
            <w:rPr>
              <w:rFonts w:ascii="仿宋" w:hAnsi="仿宋" w:eastAsia="仿宋" w:cs="仿宋"/>
              <w:sz w:val="24"/>
            </w:rPr>
          </w:pPr>
          <w:r>
            <w:fldChar w:fldCharType="begin"/>
          </w:r>
          <w:r>
            <w:instrText xml:space="preserve"> HYPERLINK \l "_Toc21644" </w:instrText>
          </w:r>
          <w:r>
            <w:fldChar w:fldCharType="separate"/>
          </w:r>
          <w:r>
            <w:rPr>
              <w:rFonts w:hint="eastAsia" w:ascii="仿宋" w:hAnsi="仿宋" w:eastAsia="仿宋" w:cs="仿宋"/>
              <w:sz w:val="24"/>
            </w:rPr>
            <w:t>格式1  投标人资格证明文件</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_Toc21644 \h </w:instrText>
          </w:r>
          <w:r>
            <w:rPr>
              <w:rFonts w:hint="eastAsia" w:ascii="仿宋" w:hAnsi="仿宋" w:eastAsia="仿宋" w:cs="仿宋"/>
              <w:sz w:val="24"/>
            </w:rPr>
            <w:fldChar w:fldCharType="separate"/>
          </w:r>
          <w:r>
            <w:rPr>
              <w:rFonts w:hint="eastAsia" w:ascii="仿宋" w:hAnsi="仿宋" w:eastAsia="仿宋" w:cs="仿宋"/>
              <w:sz w:val="24"/>
            </w:rPr>
            <w:t>36</w:t>
          </w:r>
          <w:r>
            <w:rPr>
              <w:rFonts w:hint="eastAsia" w:ascii="仿宋" w:hAnsi="仿宋" w:eastAsia="仿宋" w:cs="仿宋"/>
              <w:sz w:val="24"/>
            </w:rPr>
            <w:fldChar w:fldCharType="end"/>
          </w:r>
          <w:r>
            <w:rPr>
              <w:rFonts w:hint="eastAsia" w:ascii="仿宋" w:hAnsi="仿宋" w:eastAsia="仿宋" w:cs="仿宋"/>
              <w:sz w:val="24"/>
            </w:rPr>
            <w:fldChar w:fldCharType="end"/>
          </w:r>
        </w:p>
        <w:p w14:paraId="3B250229">
          <w:pPr>
            <w:pStyle w:val="8"/>
            <w:tabs>
              <w:tab w:val="right" w:leader="dot" w:pos="9638"/>
            </w:tabs>
            <w:rPr>
              <w:rFonts w:ascii="仿宋" w:hAnsi="仿宋" w:eastAsia="仿宋" w:cs="仿宋"/>
              <w:sz w:val="24"/>
            </w:rPr>
          </w:pPr>
          <w:r>
            <w:fldChar w:fldCharType="begin"/>
          </w:r>
          <w:r>
            <w:instrText xml:space="preserve"> HYPERLINK \l "_Toc9318" </w:instrText>
          </w:r>
          <w:r>
            <w:fldChar w:fldCharType="separate"/>
          </w:r>
          <w:r>
            <w:rPr>
              <w:rFonts w:hint="eastAsia" w:ascii="仿宋" w:hAnsi="仿宋" w:eastAsia="仿宋" w:cs="仿宋"/>
              <w:sz w:val="24"/>
            </w:rPr>
            <w:t>格式2  法定代表人（负责人）证明书及授权委托书</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_Toc9318 \h </w:instrText>
          </w:r>
          <w:r>
            <w:rPr>
              <w:rFonts w:hint="eastAsia" w:ascii="仿宋" w:hAnsi="仿宋" w:eastAsia="仿宋" w:cs="仿宋"/>
              <w:sz w:val="24"/>
            </w:rPr>
            <w:fldChar w:fldCharType="separate"/>
          </w:r>
          <w:r>
            <w:rPr>
              <w:rFonts w:hint="eastAsia" w:ascii="仿宋" w:hAnsi="仿宋" w:eastAsia="仿宋" w:cs="仿宋"/>
              <w:sz w:val="24"/>
            </w:rPr>
            <w:t>41</w:t>
          </w:r>
          <w:r>
            <w:rPr>
              <w:rFonts w:hint="eastAsia" w:ascii="仿宋" w:hAnsi="仿宋" w:eastAsia="仿宋" w:cs="仿宋"/>
              <w:sz w:val="24"/>
            </w:rPr>
            <w:fldChar w:fldCharType="end"/>
          </w:r>
          <w:r>
            <w:rPr>
              <w:rFonts w:hint="eastAsia" w:ascii="仿宋" w:hAnsi="仿宋" w:eastAsia="仿宋" w:cs="仿宋"/>
              <w:sz w:val="24"/>
            </w:rPr>
            <w:fldChar w:fldCharType="end"/>
          </w:r>
        </w:p>
        <w:p w14:paraId="20B27CD5">
          <w:pPr>
            <w:pStyle w:val="8"/>
            <w:tabs>
              <w:tab w:val="right" w:leader="dot" w:pos="9638"/>
            </w:tabs>
            <w:rPr>
              <w:rFonts w:ascii="仿宋" w:hAnsi="仿宋" w:eastAsia="仿宋" w:cs="仿宋"/>
              <w:sz w:val="24"/>
            </w:rPr>
          </w:pPr>
          <w:r>
            <w:fldChar w:fldCharType="begin"/>
          </w:r>
          <w:r>
            <w:instrText xml:space="preserve"> HYPERLINK \l "_Toc20853" </w:instrText>
          </w:r>
          <w:r>
            <w:fldChar w:fldCharType="separate"/>
          </w:r>
          <w:r>
            <w:rPr>
              <w:rFonts w:hint="eastAsia" w:ascii="仿宋" w:hAnsi="仿宋" w:eastAsia="仿宋" w:cs="仿宋"/>
              <w:sz w:val="24"/>
            </w:rPr>
            <w:t>格式3  投 标 函</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_Toc20853 \h </w:instrText>
          </w:r>
          <w:r>
            <w:rPr>
              <w:rFonts w:hint="eastAsia" w:ascii="仿宋" w:hAnsi="仿宋" w:eastAsia="仿宋" w:cs="仿宋"/>
              <w:sz w:val="24"/>
            </w:rPr>
            <w:fldChar w:fldCharType="separate"/>
          </w:r>
          <w:r>
            <w:rPr>
              <w:rFonts w:hint="eastAsia" w:ascii="仿宋" w:hAnsi="仿宋" w:eastAsia="仿宋" w:cs="仿宋"/>
              <w:sz w:val="24"/>
            </w:rPr>
            <w:t>43</w:t>
          </w:r>
          <w:r>
            <w:rPr>
              <w:rFonts w:hint="eastAsia" w:ascii="仿宋" w:hAnsi="仿宋" w:eastAsia="仿宋" w:cs="仿宋"/>
              <w:sz w:val="24"/>
            </w:rPr>
            <w:fldChar w:fldCharType="end"/>
          </w:r>
          <w:r>
            <w:rPr>
              <w:rFonts w:hint="eastAsia" w:ascii="仿宋" w:hAnsi="仿宋" w:eastAsia="仿宋" w:cs="仿宋"/>
              <w:sz w:val="24"/>
            </w:rPr>
            <w:fldChar w:fldCharType="end"/>
          </w:r>
        </w:p>
        <w:p w14:paraId="58CCC55D">
          <w:pPr>
            <w:pStyle w:val="8"/>
            <w:tabs>
              <w:tab w:val="right" w:leader="dot" w:pos="9638"/>
            </w:tabs>
            <w:rPr>
              <w:rFonts w:ascii="仿宋" w:hAnsi="仿宋" w:eastAsia="仿宋" w:cs="仿宋"/>
              <w:sz w:val="24"/>
            </w:rPr>
          </w:pPr>
          <w:r>
            <w:fldChar w:fldCharType="begin"/>
          </w:r>
          <w:r>
            <w:instrText xml:space="preserve"> HYPERLINK \l "_Toc18343" </w:instrText>
          </w:r>
          <w:r>
            <w:fldChar w:fldCharType="separate"/>
          </w:r>
          <w:r>
            <w:rPr>
              <w:rFonts w:hint="eastAsia" w:ascii="仿宋" w:hAnsi="仿宋" w:eastAsia="仿宋" w:cs="仿宋"/>
              <w:sz w:val="24"/>
            </w:rPr>
            <w:t>格式4  评分中涉及的承诺及声明函</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_Toc18343 \h </w:instrText>
          </w:r>
          <w:r>
            <w:rPr>
              <w:rFonts w:hint="eastAsia" w:ascii="仿宋" w:hAnsi="仿宋" w:eastAsia="仿宋" w:cs="仿宋"/>
              <w:sz w:val="24"/>
            </w:rPr>
            <w:fldChar w:fldCharType="separate"/>
          </w:r>
          <w:r>
            <w:rPr>
              <w:rFonts w:hint="eastAsia" w:ascii="仿宋" w:hAnsi="仿宋" w:eastAsia="仿宋" w:cs="仿宋"/>
              <w:sz w:val="24"/>
            </w:rPr>
            <w:t>44</w:t>
          </w:r>
          <w:r>
            <w:rPr>
              <w:rFonts w:hint="eastAsia" w:ascii="仿宋" w:hAnsi="仿宋" w:eastAsia="仿宋" w:cs="仿宋"/>
              <w:sz w:val="24"/>
            </w:rPr>
            <w:fldChar w:fldCharType="end"/>
          </w:r>
          <w:r>
            <w:rPr>
              <w:rFonts w:hint="eastAsia" w:ascii="仿宋" w:hAnsi="仿宋" w:eastAsia="仿宋" w:cs="仿宋"/>
              <w:sz w:val="24"/>
            </w:rPr>
            <w:fldChar w:fldCharType="end"/>
          </w:r>
        </w:p>
        <w:p w14:paraId="0B2A38CA">
          <w:pPr>
            <w:pStyle w:val="8"/>
            <w:tabs>
              <w:tab w:val="right" w:leader="dot" w:pos="9638"/>
            </w:tabs>
            <w:rPr>
              <w:rFonts w:ascii="仿宋" w:hAnsi="仿宋" w:eastAsia="仿宋" w:cs="仿宋"/>
              <w:sz w:val="24"/>
            </w:rPr>
          </w:pPr>
          <w:r>
            <w:fldChar w:fldCharType="begin"/>
          </w:r>
          <w:r>
            <w:instrText xml:space="preserve"> HYPERLINK \l "_Toc13154" </w:instrText>
          </w:r>
          <w:r>
            <w:fldChar w:fldCharType="separate"/>
          </w:r>
          <w:r>
            <w:rPr>
              <w:rFonts w:hint="eastAsia" w:ascii="仿宋" w:hAnsi="仿宋" w:eastAsia="仿宋" w:cs="仿宋"/>
              <w:sz w:val="24"/>
            </w:rPr>
            <w:t>格式5  开标一览表</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_Toc13154 \h </w:instrText>
          </w:r>
          <w:r>
            <w:rPr>
              <w:rFonts w:hint="eastAsia" w:ascii="仿宋" w:hAnsi="仿宋" w:eastAsia="仿宋" w:cs="仿宋"/>
              <w:sz w:val="24"/>
            </w:rPr>
            <w:fldChar w:fldCharType="separate"/>
          </w:r>
          <w:r>
            <w:rPr>
              <w:rFonts w:hint="eastAsia" w:ascii="仿宋" w:hAnsi="仿宋" w:eastAsia="仿宋" w:cs="仿宋"/>
              <w:sz w:val="24"/>
            </w:rPr>
            <w:t>50</w:t>
          </w:r>
          <w:r>
            <w:rPr>
              <w:rFonts w:hint="eastAsia" w:ascii="仿宋" w:hAnsi="仿宋" w:eastAsia="仿宋" w:cs="仿宋"/>
              <w:sz w:val="24"/>
            </w:rPr>
            <w:fldChar w:fldCharType="end"/>
          </w:r>
          <w:r>
            <w:rPr>
              <w:rFonts w:hint="eastAsia" w:ascii="仿宋" w:hAnsi="仿宋" w:eastAsia="仿宋" w:cs="仿宋"/>
              <w:sz w:val="24"/>
            </w:rPr>
            <w:fldChar w:fldCharType="end"/>
          </w:r>
        </w:p>
        <w:p w14:paraId="6C17EBDF">
          <w:pPr>
            <w:pStyle w:val="8"/>
            <w:tabs>
              <w:tab w:val="right" w:leader="dot" w:pos="9638"/>
            </w:tabs>
            <w:rPr>
              <w:rFonts w:ascii="仿宋" w:hAnsi="仿宋" w:eastAsia="仿宋" w:cs="仿宋"/>
              <w:sz w:val="24"/>
            </w:rPr>
          </w:pPr>
          <w:r>
            <w:fldChar w:fldCharType="begin"/>
          </w:r>
          <w:r>
            <w:instrText xml:space="preserve"> HYPERLINK \l "_Toc29159" </w:instrText>
          </w:r>
          <w:r>
            <w:fldChar w:fldCharType="separate"/>
          </w:r>
          <w:r>
            <w:rPr>
              <w:rFonts w:hint="eastAsia" w:ascii="仿宋" w:hAnsi="仿宋" w:eastAsia="仿宋" w:cs="仿宋"/>
              <w:sz w:val="24"/>
            </w:rPr>
            <w:t>格式6  报价表</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_Toc29159 \h </w:instrText>
          </w:r>
          <w:r>
            <w:rPr>
              <w:rFonts w:hint="eastAsia" w:ascii="仿宋" w:hAnsi="仿宋" w:eastAsia="仿宋" w:cs="仿宋"/>
              <w:sz w:val="24"/>
            </w:rPr>
            <w:fldChar w:fldCharType="separate"/>
          </w:r>
          <w:r>
            <w:rPr>
              <w:rFonts w:hint="eastAsia" w:ascii="仿宋" w:hAnsi="仿宋" w:eastAsia="仿宋" w:cs="仿宋"/>
              <w:sz w:val="24"/>
            </w:rPr>
            <w:t>51</w:t>
          </w:r>
          <w:r>
            <w:rPr>
              <w:rFonts w:hint="eastAsia" w:ascii="仿宋" w:hAnsi="仿宋" w:eastAsia="仿宋" w:cs="仿宋"/>
              <w:sz w:val="24"/>
            </w:rPr>
            <w:fldChar w:fldCharType="end"/>
          </w:r>
          <w:r>
            <w:rPr>
              <w:rFonts w:hint="eastAsia" w:ascii="仿宋" w:hAnsi="仿宋" w:eastAsia="仿宋" w:cs="仿宋"/>
              <w:sz w:val="24"/>
            </w:rPr>
            <w:fldChar w:fldCharType="end"/>
          </w:r>
        </w:p>
        <w:p w14:paraId="0A802B03">
          <w:pPr>
            <w:pStyle w:val="8"/>
            <w:tabs>
              <w:tab w:val="right" w:leader="dot" w:pos="9638"/>
            </w:tabs>
            <w:rPr>
              <w:rFonts w:ascii="仿宋" w:hAnsi="仿宋" w:eastAsia="仿宋" w:cs="仿宋"/>
              <w:sz w:val="24"/>
            </w:rPr>
          </w:pPr>
          <w:r>
            <w:fldChar w:fldCharType="begin"/>
          </w:r>
          <w:r>
            <w:instrText xml:space="preserve"> HYPERLINK \l "_Toc11048" </w:instrText>
          </w:r>
          <w:r>
            <w:fldChar w:fldCharType="separate"/>
          </w:r>
          <w:r>
            <w:rPr>
              <w:rFonts w:hint="eastAsia" w:ascii="仿宋" w:hAnsi="仿宋" w:eastAsia="仿宋" w:cs="仿宋"/>
              <w:sz w:val="24"/>
            </w:rPr>
            <w:t>格式7  技术规格</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_Toc11048 \h </w:instrText>
          </w:r>
          <w:r>
            <w:rPr>
              <w:rFonts w:hint="eastAsia" w:ascii="仿宋" w:hAnsi="仿宋" w:eastAsia="仿宋" w:cs="仿宋"/>
              <w:sz w:val="24"/>
            </w:rPr>
            <w:fldChar w:fldCharType="separate"/>
          </w:r>
          <w:r>
            <w:rPr>
              <w:rFonts w:hint="eastAsia" w:ascii="仿宋" w:hAnsi="仿宋" w:eastAsia="仿宋" w:cs="仿宋"/>
              <w:sz w:val="24"/>
            </w:rPr>
            <w:t>53</w:t>
          </w:r>
          <w:r>
            <w:rPr>
              <w:rFonts w:hint="eastAsia" w:ascii="仿宋" w:hAnsi="仿宋" w:eastAsia="仿宋" w:cs="仿宋"/>
              <w:sz w:val="24"/>
            </w:rPr>
            <w:fldChar w:fldCharType="end"/>
          </w:r>
          <w:r>
            <w:rPr>
              <w:rFonts w:hint="eastAsia" w:ascii="仿宋" w:hAnsi="仿宋" w:eastAsia="仿宋" w:cs="仿宋"/>
              <w:sz w:val="24"/>
            </w:rPr>
            <w:fldChar w:fldCharType="end"/>
          </w:r>
        </w:p>
        <w:p w14:paraId="65B44434">
          <w:pPr>
            <w:pStyle w:val="8"/>
            <w:tabs>
              <w:tab w:val="right" w:leader="dot" w:pos="9638"/>
            </w:tabs>
            <w:rPr>
              <w:rFonts w:ascii="仿宋" w:hAnsi="仿宋" w:eastAsia="仿宋" w:cs="仿宋"/>
              <w:sz w:val="24"/>
            </w:rPr>
          </w:pPr>
          <w:r>
            <w:fldChar w:fldCharType="begin"/>
          </w:r>
          <w:r>
            <w:instrText xml:space="preserve"> HYPERLINK \l "_Toc29479" </w:instrText>
          </w:r>
          <w:r>
            <w:fldChar w:fldCharType="separate"/>
          </w:r>
          <w:r>
            <w:rPr>
              <w:rFonts w:hint="eastAsia" w:ascii="仿宋" w:hAnsi="仿宋" w:eastAsia="仿宋" w:cs="仿宋"/>
              <w:sz w:val="24"/>
            </w:rPr>
            <w:t>格式8  交付进度</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_Toc29479 \h </w:instrText>
          </w:r>
          <w:r>
            <w:rPr>
              <w:rFonts w:hint="eastAsia" w:ascii="仿宋" w:hAnsi="仿宋" w:eastAsia="仿宋" w:cs="仿宋"/>
              <w:sz w:val="24"/>
            </w:rPr>
            <w:fldChar w:fldCharType="separate"/>
          </w:r>
          <w:r>
            <w:rPr>
              <w:rFonts w:hint="eastAsia" w:ascii="仿宋" w:hAnsi="仿宋" w:eastAsia="仿宋" w:cs="仿宋"/>
              <w:sz w:val="24"/>
            </w:rPr>
            <w:t>54</w:t>
          </w:r>
          <w:r>
            <w:rPr>
              <w:rFonts w:hint="eastAsia" w:ascii="仿宋" w:hAnsi="仿宋" w:eastAsia="仿宋" w:cs="仿宋"/>
              <w:sz w:val="24"/>
            </w:rPr>
            <w:fldChar w:fldCharType="end"/>
          </w:r>
          <w:r>
            <w:rPr>
              <w:rFonts w:hint="eastAsia" w:ascii="仿宋" w:hAnsi="仿宋" w:eastAsia="仿宋" w:cs="仿宋"/>
              <w:sz w:val="24"/>
            </w:rPr>
            <w:fldChar w:fldCharType="end"/>
          </w:r>
        </w:p>
        <w:p w14:paraId="0DC0B78A">
          <w:pPr>
            <w:pStyle w:val="8"/>
            <w:tabs>
              <w:tab w:val="right" w:leader="dot" w:pos="9638"/>
            </w:tabs>
            <w:rPr>
              <w:rFonts w:ascii="仿宋" w:hAnsi="仿宋" w:eastAsia="仿宋" w:cs="仿宋"/>
              <w:sz w:val="24"/>
            </w:rPr>
          </w:pPr>
          <w:r>
            <w:fldChar w:fldCharType="begin"/>
          </w:r>
          <w:r>
            <w:instrText xml:space="preserve"> HYPERLINK \l "_Toc2383" </w:instrText>
          </w:r>
          <w:r>
            <w:fldChar w:fldCharType="separate"/>
          </w:r>
          <w:r>
            <w:rPr>
              <w:rFonts w:hint="eastAsia" w:ascii="仿宋" w:hAnsi="仿宋" w:eastAsia="仿宋" w:cs="仿宋"/>
              <w:sz w:val="24"/>
            </w:rPr>
            <w:t>格式9  售后服务和质量承诺</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_Toc2383 \h </w:instrText>
          </w:r>
          <w:r>
            <w:rPr>
              <w:rFonts w:hint="eastAsia" w:ascii="仿宋" w:hAnsi="仿宋" w:eastAsia="仿宋" w:cs="仿宋"/>
              <w:sz w:val="24"/>
            </w:rPr>
            <w:fldChar w:fldCharType="separate"/>
          </w:r>
          <w:r>
            <w:rPr>
              <w:rFonts w:hint="eastAsia" w:ascii="仿宋" w:hAnsi="仿宋" w:eastAsia="仿宋" w:cs="仿宋"/>
              <w:sz w:val="24"/>
            </w:rPr>
            <w:t>55</w:t>
          </w:r>
          <w:r>
            <w:rPr>
              <w:rFonts w:hint="eastAsia" w:ascii="仿宋" w:hAnsi="仿宋" w:eastAsia="仿宋" w:cs="仿宋"/>
              <w:sz w:val="24"/>
            </w:rPr>
            <w:fldChar w:fldCharType="end"/>
          </w:r>
          <w:r>
            <w:rPr>
              <w:rFonts w:hint="eastAsia" w:ascii="仿宋" w:hAnsi="仿宋" w:eastAsia="仿宋" w:cs="仿宋"/>
              <w:sz w:val="24"/>
            </w:rPr>
            <w:fldChar w:fldCharType="end"/>
          </w:r>
        </w:p>
        <w:p w14:paraId="22AF64C9">
          <w:pPr>
            <w:pStyle w:val="8"/>
            <w:tabs>
              <w:tab w:val="right" w:leader="dot" w:pos="9638"/>
            </w:tabs>
            <w:rPr>
              <w:rFonts w:ascii="仿宋" w:hAnsi="仿宋" w:eastAsia="仿宋" w:cs="仿宋"/>
              <w:sz w:val="24"/>
            </w:rPr>
          </w:pPr>
          <w:r>
            <w:fldChar w:fldCharType="begin"/>
          </w:r>
          <w:r>
            <w:instrText xml:space="preserve"> HYPERLINK \l "_Toc24600" </w:instrText>
          </w:r>
          <w:r>
            <w:fldChar w:fldCharType="separate"/>
          </w:r>
          <w:r>
            <w:rPr>
              <w:rFonts w:hint="eastAsia" w:ascii="仿宋" w:hAnsi="仿宋" w:eastAsia="仿宋" w:cs="仿宋"/>
              <w:sz w:val="24"/>
            </w:rPr>
            <w:t>格式10  投标人情况介绍</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_Toc24600 \h </w:instrText>
          </w:r>
          <w:r>
            <w:rPr>
              <w:rFonts w:hint="eastAsia" w:ascii="仿宋" w:hAnsi="仿宋" w:eastAsia="仿宋" w:cs="仿宋"/>
              <w:sz w:val="24"/>
            </w:rPr>
            <w:fldChar w:fldCharType="separate"/>
          </w:r>
          <w:r>
            <w:rPr>
              <w:rFonts w:hint="eastAsia" w:ascii="仿宋" w:hAnsi="仿宋" w:eastAsia="仿宋" w:cs="仿宋"/>
              <w:sz w:val="24"/>
            </w:rPr>
            <w:t>56</w:t>
          </w:r>
          <w:r>
            <w:rPr>
              <w:rFonts w:hint="eastAsia" w:ascii="仿宋" w:hAnsi="仿宋" w:eastAsia="仿宋" w:cs="仿宋"/>
              <w:sz w:val="24"/>
            </w:rPr>
            <w:fldChar w:fldCharType="end"/>
          </w:r>
          <w:r>
            <w:rPr>
              <w:rFonts w:hint="eastAsia" w:ascii="仿宋" w:hAnsi="仿宋" w:eastAsia="仿宋" w:cs="仿宋"/>
              <w:sz w:val="24"/>
            </w:rPr>
            <w:fldChar w:fldCharType="end"/>
          </w:r>
        </w:p>
        <w:p w14:paraId="76747558">
          <w:pPr>
            <w:pStyle w:val="8"/>
            <w:tabs>
              <w:tab w:val="right" w:leader="dot" w:pos="9638"/>
            </w:tabs>
            <w:rPr>
              <w:rFonts w:ascii="仿宋" w:hAnsi="仿宋" w:eastAsia="仿宋" w:cs="仿宋"/>
              <w:sz w:val="24"/>
            </w:rPr>
          </w:pPr>
          <w:r>
            <w:fldChar w:fldCharType="begin"/>
          </w:r>
          <w:r>
            <w:instrText xml:space="preserve"> HYPERLINK \l "_Toc9453" </w:instrText>
          </w:r>
          <w:r>
            <w:fldChar w:fldCharType="separate"/>
          </w:r>
          <w:r>
            <w:rPr>
              <w:rFonts w:hint="eastAsia" w:ascii="仿宋" w:hAnsi="仿宋" w:eastAsia="仿宋" w:cs="仿宋"/>
              <w:sz w:val="24"/>
            </w:rPr>
            <w:t>格式11  偏离表</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_Toc9453 \h </w:instrText>
          </w:r>
          <w:r>
            <w:rPr>
              <w:rFonts w:hint="eastAsia" w:ascii="仿宋" w:hAnsi="仿宋" w:eastAsia="仿宋" w:cs="仿宋"/>
              <w:sz w:val="24"/>
            </w:rPr>
            <w:fldChar w:fldCharType="separate"/>
          </w:r>
          <w:r>
            <w:rPr>
              <w:rFonts w:hint="eastAsia" w:ascii="仿宋" w:hAnsi="仿宋" w:eastAsia="仿宋" w:cs="仿宋"/>
              <w:sz w:val="24"/>
            </w:rPr>
            <w:t>57</w:t>
          </w:r>
          <w:r>
            <w:rPr>
              <w:rFonts w:hint="eastAsia" w:ascii="仿宋" w:hAnsi="仿宋" w:eastAsia="仿宋" w:cs="仿宋"/>
              <w:sz w:val="24"/>
            </w:rPr>
            <w:fldChar w:fldCharType="end"/>
          </w:r>
          <w:r>
            <w:rPr>
              <w:rFonts w:hint="eastAsia" w:ascii="仿宋" w:hAnsi="仿宋" w:eastAsia="仿宋" w:cs="仿宋"/>
              <w:sz w:val="24"/>
            </w:rPr>
            <w:fldChar w:fldCharType="end"/>
          </w:r>
        </w:p>
        <w:p w14:paraId="4E96109A">
          <w:pPr>
            <w:pStyle w:val="8"/>
            <w:tabs>
              <w:tab w:val="right" w:leader="dot" w:pos="9638"/>
            </w:tabs>
            <w:rPr>
              <w:rFonts w:ascii="仿宋" w:hAnsi="仿宋" w:eastAsia="仿宋" w:cs="仿宋"/>
              <w:sz w:val="24"/>
            </w:rPr>
          </w:pPr>
          <w:r>
            <w:fldChar w:fldCharType="begin"/>
          </w:r>
          <w:r>
            <w:instrText xml:space="preserve"> HYPERLINK \l "_Toc31762" </w:instrText>
          </w:r>
          <w:r>
            <w:fldChar w:fldCharType="separate"/>
          </w:r>
          <w:r>
            <w:rPr>
              <w:rFonts w:hint="eastAsia" w:ascii="仿宋" w:hAnsi="仿宋" w:eastAsia="仿宋" w:cs="仿宋"/>
              <w:sz w:val="24"/>
            </w:rPr>
            <w:t>格式12  招标文件要求的其他资料或投标人认为需要补充的资料</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_Toc31762 \h </w:instrText>
          </w:r>
          <w:r>
            <w:rPr>
              <w:rFonts w:hint="eastAsia" w:ascii="仿宋" w:hAnsi="仿宋" w:eastAsia="仿宋" w:cs="仿宋"/>
              <w:sz w:val="24"/>
            </w:rPr>
            <w:fldChar w:fldCharType="separate"/>
          </w:r>
          <w:r>
            <w:rPr>
              <w:rFonts w:hint="eastAsia" w:ascii="仿宋" w:hAnsi="仿宋" w:eastAsia="仿宋" w:cs="仿宋"/>
              <w:sz w:val="24"/>
            </w:rPr>
            <w:t>65</w:t>
          </w:r>
          <w:r>
            <w:rPr>
              <w:rFonts w:hint="eastAsia" w:ascii="仿宋" w:hAnsi="仿宋" w:eastAsia="仿宋" w:cs="仿宋"/>
              <w:sz w:val="24"/>
            </w:rPr>
            <w:fldChar w:fldCharType="end"/>
          </w:r>
          <w:r>
            <w:rPr>
              <w:rFonts w:hint="eastAsia" w:ascii="仿宋" w:hAnsi="仿宋" w:eastAsia="仿宋" w:cs="仿宋"/>
              <w:sz w:val="24"/>
            </w:rPr>
            <w:fldChar w:fldCharType="end"/>
          </w:r>
        </w:p>
        <w:p w14:paraId="31E75E69">
          <w:pPr>
            <w:pStyle w:val="35"/>
            <w:tabs>
              <w:tab w:val="right" w:leader="dot" w:pos="9638"/>
            </w:tabs>
            <w:rPr>
              <w:rFonts w:ascii="仿宋" w:hAnsi="仿宋" w:eastAsia="仿宋" w:cs="仿宋"/>
              <w:sz w:val="24"/>
            </w:rPr>
          </w:pPr>
          <w:r>
            <w:fldChar w:fldCharType="begin"/>
          </w:r>
          <w:r>
            <w:instrText xml:space="preserve"> HYPERLINK \l "_Toc16933" </w:instrText>
          </w:r>
          <w:r>
            <w:fldChar w:fldCharType="separate"/>
          </w:r>
          <w:r>
            <w:rPr>
              <w:rFonts w:hint="eastAsia" w:ascii="仿宋" w:hAnsi="仿宋" w:eastAsia="仿宋" w:cs="仿宋"/>
              <w:sz w:val="24"/>
            </w:rPr>
            <w:t>招标文件第二册（通用部分）</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_Toc16933 \h </w:instrText>
          </w:r>
          <w:r>
            <w:rPr>
              <w:rFonts w:hint="eastAsia" w:ascii="仿宋" w:hAnsi="仿宋" w:eastAsia="仿宋" w:cs="仿宋"/>
              <w:sz w:val="24"/>
            </w:rPr>
            <w:fldChar w:fldCharType="separate"/>
          </w:r>
          <w:r>
            <w:rPr>
              <w:rFonts w:hint="eastAsia" w:ascii="仿宋" w:hAnsi="仿宋" w:eastAsia="仿宋" w:cs="仿宋"/>
              <w:sz w:val="24"/>
            </w:rPr>
            <w:t>66</w:t>
          </w:r>
          <w:r>
            <w:rPr>
              <w:rFonts w:hint="eastAsia" w:ascii="仿宋" w:hAnsi="仿宋" w:eastAsia="仿宋" w:cs="仿宋"/>
              <w:sz w:val="24"/>
            </w:rPr>
            <w:fldChar w:fldCharType="end"/>
          </w:r>
          <w:r>
            <w:rPr>
              <w:rFonts w:hint="eastAsia" w:ascii="仿宋" w:hAnsi="仿宋" w:eastAsia="仿宋" w:cs="仿宋"/>
              <w:sz w:val="24"/>
            </w:rPr>
            <w:fldChar w:fldCharType="end"/>
          </w:r>
        </w:p>
        <w:p w14:paraId="718F7075">
          <w:pPr>
            <w:pStyle w:val="42"/>
            <w:tabs>
              <w:tab w:val="right" w:leader="dot" w:pos="9638"/>
            </w:tabs>
            <w:rPr>
              <w:rFonts w:ascii="仿宋" w:hAnsi="仿宋" w:eastAsia="仿宋" w:cs="仿宋"/>
              <w:sz w:val="24"/>
            </w:rPr>
          </w:pPr>
          <w:r>
            <w:fldChar w:fldCharType="begin"/>
          </w:r>
          <w:r>
            <w:instrText xml:space="preserve"> HYPERLINK \l "_Toc6163" </w:instrText>
          </w:r>
          <w:r>
            <w:fldChar w:fldCharType="separate"/>
          </w:r>
          <w:r>
            <w:rPr>
              <w:rFonts w:hint="eastAsia" w:ascii="仿宋" w:hAnsi="仿宋" w:eastAsia="仿宋" w:cs="仿宋"/>
              <w:bCs/>
              <w:sz w:val="24"/>
            </w:rPr>
            <w:t>一、说  明</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_Toc6163 \h </w:instrText>
          </w:r>
          <w:r>
            <w:rPr>
              <w:rFonts w:hint="eastAsia" w:ascii="仿宋" w:hAnsi="仿宋" w:eastAsia="仿宋" w:cs="仿宋"/>
              <w:sz w:val="24"/>
            </w:rPr>
            <w:fldChar w:fldCharType="separate"/>
          </w:r>
          <w:r>
            <w:rPr>
              <w:rFonts w:hint="eastAsia" w:ascii="仿宋" w:hAnsi="仿宋" w:eastAsia="仿宋" w:cs="仿宋"/>
              <w:sz w:val="24"/>
            </w:rPr>
            <w:t>66</w:t>
          </w:r>
          <w:r>
            <w:rPr>
              <w:rFonts w:hint="eastAsia" w:ascii="仿宋" w:hAnsi="仿宋" w:eastAsia="仿宋" w:cs="仿宋"/>
              <w:sz w:val="24"/>
            </w:rPr>
            <w:fldChar w:fldCharType="end"/>
          </w:r>
          <w:r>
            <w:rPr>
              <w:rFonts w:hint="eastAsia" w:ascii="仿宋" w:hAnsi="仿宋" w:eastAsia="仿宋" w:cs="仿宋"/>
              <w:sz w:val="24"/>
            </w:rPr>
            <w:fldChar w:fldCharType="end"/>
          </w:r>
        </w:p>
        <w:p w14:paraId="5C3E426E">
          <w:pPr>
            <w:pStyle w:val="42"/>
            <w:tabs>
              <w:tab w:val="right" w:leader="dot" w:pos="9638"/>
            </w:tabs>
            <w:rPr>
              <w:rFonts w:ascii="仿宋" w:hAnsi="仿宋" w:eastAsia="仿宋" w:cs="仿宋"/>
              <w:sz w:val="24"/>
            </w:rPr>
          </w:pPr>
          <w:r>
            <w:fldChar w:fldCharType="begin"/>
          </w:r>
          <w:r>
            <w:instrText xml:space="preserve"> HYPERLINK \l "_Toc15811" </w:instrText>
          </w:r>
          <w:r>
            <w:fldChar w:fldCharType="separate"/>
          </w:r>
          <w:r>
            <w:rPr>
              <w:rFonts w:hint="eastAsia" w:ascii="仿宋" w:hAnsi="仿宋" w:eastAsia="仿宋" w:cs="仿宋"/>
              <w:bCs/>
              <w:sz w:val="24"/>
            </w:rPr>
            <w:t>二、招标文件说明</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_Toc15811 \h </w:instrText>
          </w:r>
          <w:r>
            <w:rPr>
              <w:rFonts w:hint="eastAsia" w:ascii="仿宋" w:hAnsi="仿宋" w:eastAsia="仿宋" w:cs="仿宋"/>
              <w:sz w:val="24"/>
            </w:rPr>
            <w:fldChar w:fldCharType="separate"/>
          </w:r>
          <w:r>
            <w:rPr>
              <w:rFonts w:hint="eastAsia" w:ascii="仿宋" w:hAnsi="仿宋" w:eastAsia="仿宋" w:cs="仿宋"/>
              <w:sz w:val="24"/>
            </w:rPr>
            <w:t>68</w:t>
          </w:r>
          <w:r>
            <w:rPr>
              <w:rFonts w:hint="eastAsia" w:ascii="仿宋" w:hAnsi="仿宋" w:eastAsia="仿宋" w:cs="仿宋"/>
              <w:sz w:val="24"/>
            </w:rPr>
            <w:fldChar w:fldCharType="end"/>
          </w:r>
          <w:r>
            <w:rPr>
              <w:rFonts w:hint="eastAsia" w:ascii="仿宋" w:hAnsi="仿宋" w:eastAsia="仿宋" w:cs="仿宋"/>
              <w:sz w:val="24"/>
            </w:rPr>
            <w:fldChar w:fldCharType="end"/>
          </w:r>
        </w:p>
        <w:p w14:paraId="16BA4241">
          <w:pPr>
            <w:pStyle w:val="42"/>
            <w:tabs>
              <w:tab w:val="right" w:leader="dot" w:pos="9638"/>
            </w:tabs>
            <w:rPr>
              <w:rFonts w:ascii="仿宋" w:hAnsi="仿宋" w:eastAsia="仿宋" w:cs="仿宋"/>
              <w:sz w:val="24"/>
            </w:rPr>
          </w:pPr>
          <w:r>
            <w:fldChar w:fldCharType="begin"/>
          </w:r>
          <w:r>
            <w:instrText xml:space="preserve"> HYPERLINK \l "_Toc13941" </w:instrText>
          </w:r>
          <w:r>
            <w:fldChar w:fldCharType="separate"/>
          </w:r>
          <w:r>
            <w:rPr>
              <w:rFonts w:hint="eastAsia" w:ascii="仿宋" w:hAnsi="仿宋" w:eastAsia="仿宋" w:cs="仿宋"/>
              <w:bCs/>
              <w:sz w:val="24"/>
            </w:rPr>
            <w:t>三、投标文件的编写</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_Toc13941 \h </w:instrText>
          </w:r>
          <w:r>
            <w:rPr>
              <w:rFonts w:hint="eastAsia" w:ascii="仿宋" w:hAnsi="仿宋" w:eastAsia="仿宋" w:cs="仿宋"/>
              <w:sz w:val="24"/>
            </w:rPr>
            <w:fldChar w:fldCharType="separate"/>
          </w:r>
          <w:r>
            <w:rPr>
              <w:rFonts w:hint="eastAsia" w:ascii="仿宋" w:hAnsi="仿宋" w:eastAsia="仿宋" w:cs="仿宋"/>
              <w:sz w:val="24"/>
            </w:rPr>
            <w:t>69</w:t>
          </w:r>
          <w:r>
            <w:rPr>
              <w:rFonts w:hint="eastAsia" w:ascii="仿宋" w:hAnsi="仿宋" w:eastAsia="仿宋" w:cs="仿宋"/>
              <w:sz w:val="24"/>
            </w:rPr>
            <w:fldChar w:fldCharType="end"/>
          </w:r>
          <w:r>
            <w:rPr>
              <w:rFonts w:hint="eastAsia" w:ascii="仿宋" w:hAnsi="仿宋" w:eastAsia="仿宋" w:cs="仿宋"/>
              <w:sz w:val="24"/>
            </w:rPr>
            <w:fldChar w:fldCharType="end"/>
          </w:r>
        </w:p>
        <w:p w14:paraId="5F1AAFD9">
          <w:pPr>
            <w:pStyle w:val="42"/>
            <w:tabs>
              <w:tab w:val="right" w:leader="dot" w:pos="9638"/>
            </w:tabs>
            <w:rPr>
              <w:rFonts w:ascii="仿宋" w:hAnsi="仿宋" w:eastAsia="仿宋" w:cs="仿宋"/>
              <w:sz w:val="24"/>
            </w:rPr>
          </w:pPr>
          <w:r>
            <w:fldChar w:fldCharType="begin"/>
          </w:r>
          <w:r>
            <w:instrText xml:space="preserve"> HYPERLINK \l "_Toc11917" </w:instrText>
          </w:r>
          <w:r>
            <w:fldChar w:fldCharType="separate"/>
          </w:r>
          <w:r>
            <w:rPr>
              <w:rFonts w:hint="eastAsia" w:ascii="仿宋" w:hAnsi="仿宋" w:eastAsia="仿宋" w:cs="仿宋"/>
              <w:bCs/>
              <w:sz w:val="24"/>
            </w:rPr>
            <w:t>四、投标文件的递交</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_Toc11917 \h </w:instrText>
          </w:r>
          <w:r>
            <w:rPr>
              <w:rFonts w:hint="eastAsia" w:ascii="仿宋" w:hAnsi="仿宋" w:eastAsia="仿宋" w:cs="仿宋"/>
              <w:sz w:val="24"/>
            </w:rPr>
            <w:fldChar w:fldCharType="separate"/>
          </w:r>
          <w:r>
            <w:rPr>
              <w:rFonts w:hint="eastAsia" w:ascii="仿宋" w:hAnsi="仿宋" w:eastAsia="仿宋" w:cs="仿宋"/>
              <w:sz w:val="24"/>
            </w:rPr>
            <w:t>71</w:t>
          </w:r>
          <w:r>
            <w:rPr>
              <w:rFonts w:hint="eastAsia" w:ascii="仿宋" w:hAnsi="仿宋" w:eastAsia="仿宋" w:cs="仿宋"/>
              <w:sz w:val="24"/>
            </w:rPr>
            <w:fldChar w:fldCharType="end"/>
          </w:r>
          <w:r>
            <w:rPr>
              <w:rFonts w:hint="eastAsia" w:ascii="仿宋" w:hAnsi="仿宋" w:eastAsia="仿宋" w:cs="仿宋"/>
              <w:sz w:val="24"/>
            </w:rPr>
            <w:fldChar w:fldCharType="end"/>
          </w:r>
        </w:p>
        <w:p w14:paraId="0D5E3C4C">
          <w:pPr>
            <w:pStyle w:val="42"/>
            <w:tabs>
              <w:tab w:val="right" w:leader="dot" w:pos="9638"/>
            </w:tabs>
            <w:rPr>
              <w:rFonts w:ascii="仿宋" w:hAnsi="仿宋" w:eastAsia="仿宋" w:cs="仿宋"/>
              <w:sz w:val="24"/>
            </w:rPr>
          </w:pPr>
          <w:r>
            <w:fldChar w:fldCharType="begin"/>
          </w:r>
          <w:r>
            <w:instrText xml:space="preserve"> HYPERLINK \l "_Toc366" </w:instrText>
          </w:r>
          <w:r>
            <w:fldChar w:fldCharType="separate"/>
          </w:r>
          <w:r>
            <w:rPr>
              <w:rFonts w:hint="eastAsia" w:ascii="仿宋" w:hAnsi="仿宋" w:eastAsia="仿宋" w:cs="仿宋"/>
              <w:bCs/>
              <w:sz w:val="24"/>
            </w:rPr>
            <w:t>五、开标和评标</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_Toc366 \h </w:instrText>
          </w:r>
          <w:r>
            <w:rPr>
              <w:rFonts w:hint="eastAsia" w:ascii="仿宋" w:hAnsi="仿宋" w:eastAsia="仿宋" w:cs="仿宋"/>
              <w:sz w:val="24"/>
            </w:rPr>
            <w:fldChar w:fldCharType="separate"/>
          </w:r>
          <w:r>
            <w:rPr>
              <w:rFonts w:hint="eastAsia" w:ascii="仿宋" w:hAnsi="仿宋" w:eastAsia="仿宋" w:cs="仿宋"/>
              <w:sz w:val="24"/>
            </w:rPr>
            <w:t>73</w:t>
          </w:r>
          <w:r>
            <w:rPr>
              <w:rFonts w:hint="eastAsia" w:ascii="仿宋" w:hAnsi="仿宋" w:eastAsia="仿宋" w:cs="仿宋"/>
              <w:sz w:val="24"/>
            </w:rPr>
            <w:fldChar w:fldCharType="end"/>
          </w:r>
          <w:r>
            <w:rPr>
              <w:rFonts w:hint="eastAsia" w:ascii="仿宋" w:hAnsi="仿宋" w:eastAsia="仿宋" w:cs="仿宋"/>
              <w:sz w:val="24"/>
            </w:rPr>
            <w:fldChar w:fldCharType="end"/>
          </w:r>
        </w:p>
        <w:p w14:paraId="22FAAA67">
          <w:pPr>
            <w:pStyle w:val="42"/>
            <w:tabs>
              <w:tab w:val="right" w:leader="dot" w:pos="9638"/>
            </w:tabs>
            <w:rPr>
              <w:rFonts w:ascii="仿宋" w:hAnsi="仿宋" w:eastAsia="仿宋" w:cs="仿宋"/>
              <w:sz w:val="24"/>
            </w:rPr>
          </w:pPr>
          <w:r>
            <w:fldChar w:fldCharType="begin"/>
          </w:r>
          <w:r>
            <w:instrText xml:space="preserve"> HYPERLINK \l "_Toc29246" </w:instrText>
          </w:r>
          <w:r>
            <w:fldChar w:fldCharType="separate"/>
          </w:r>
          <w:r>
            <w:rPr>
              <w:rFonts w:hint="eastAsia" w:ascii="仿宋" w:hAnsi="仿宋" w:eastAsia="仿宋" w:cs="仿宋"/>
              <w:bCs/>
              <w:sz w:val="24"/>
            </w:rPr>
            <w:t>六、授予合同</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_Toc29246 \h </w:instrText>
          </w:r>
          <w:r>
            <w:rPr>
              <w:rFonts w:hint="eastAsia" w:ascii="仿宋" w:hAnsi="仿宋" w:eastAsia="仿宋" w:cs="仿宋"/>
              <w:sz w:val="24"/>
            </w:rPr>
            <w:fldChar w:fldCharType="separate"/>
          </w:r>
          <w:r>
            <w:rPr>
              <w:rFonts w:hint="eastAsia" w:ascii="仿宋" w:hAnsi="仿宋" w:eastAsia="仿宋" w:cs="仿宋"/>
              <w:sz w:val="24"/>
            </w:rPr>
            <w:t>75</w:t>
          </w:r>
          <w:r>
            <w:rPr>
              <w:rFonts w:hint="eastAsia" w:ascii="仿宋" w:hAnsi="仿宋" w:eastAsia="仿宋" w:cs="仿宋"/>
              <w:sz w:val="24"/>
            </w:rPr>
            <w:fldChar w:fldCharType="end"/>
          </w:r>
          <w:r>
            <w:rPr>
              <w:rFonts w:hint="eastAsia" w:ascii="仿宋" w:hAnsi="仿宋" w:eastAsia="仿宋" w:cs="仿宋"/>
              <w:sz w:val="24"/>
            </w:rPr>
            <w:fldChar w:fldCharType="end"/>
          </w:r>
        </w:p>
        <w:p w14:paraId="5BA8CDB8">
          <w:pPr>
            <w:pStyle w:val="42"/>
            <w:tabs>
              <w:tab w:val="right" w:leader="dot" w:pos="9638"/>
            </w:tabs>
            <w:rPr>
              <w:rFonts w:ascii="仿宋" w:hAnsi="仿宋" w:eastAsia="仿宋" w:cs="仿宋"/>
              <w:sz w:val="24"/>
            </w:rPr>
          </w:pPr>
          <w:r>
            <w:fldChar w:fldCharType="begin"/>
          </w:r>
          <w:r>
            <w:instrText xml:space="preserve"> HYPERLINK \l "_Toc21160" </w:instrText>
          </w:r>
          <w:r>
            <w:fldChar w:fldCharType="separate"/>
          </w:r>
          <w:r>
            <w:rPr>
              <w:rFonts w:hint="eastAsia" w:ascii="仿宋" w:hAnsi="仿宋" w:eastAsia="仿宋" w:cs="仿宋"/>
              <w:bCs/>
              <w:sz w:val="24"/>
            </w:rPr>
            <w:t>七、质疑处理</w:t>
          </w:r>
          <w:r>
            <w:rPr>
              <w:rFonts w:hint="eastAsia" w:ascii="仿宋" w:hAnsi="仿宋" w:eastAsia="仿宋" w:cs="仿宋"/>
              <w:sz w:val="24"/>
            </w:rPr>
            <w:tab/>
          </w:r>
          <w:r>
            <w:rPr>
              <w:rFonts w:hint="eastAsia" w:ascii="仿宋" w:hAnsi="仿宋" w:eastAsia="仿宋" w:cs="仿宋"/>
              <w:sz w:val="24"/>
            </w:rPr>
            <w:fldChar w:fldCharType="begin"/>
          </w:r>
          <w:r>
            <w:rPr>
              <w:rFonts w:hint="eastAsia" w:ascii="仿宋" w:hAnsi="仿宋" w:eastAsia="仿宋" w:cs="仿宋"/>
              <w:sz w:val="24"/>
            </w:rPr>
            <w:instrText xml:space="preserve"> PAGEREF _Toc21160 \h </w:instrText>
          </w:r>
          <w:r>
            <w:rPr>
              <w:rFonts w:hint="eastAsia" w:ascii="仿宋" w:hAnsi="仿宋" w:eastAsia="仿宋" w:cs="仿宋"/>
              <w:sz w:val="24"/>
            </w:rPr>
            <w:fldChar w:fldCharType="separate"/>
          </w:r>
          <w:r>
            <w:rPr>
              <w:rFonts w:hint="eastAsia" w:ascii="仿宋" w:hAnsi="仿宋" w:eastAsia="仿宋" w:cs="仿宋"/>
              <w:sz w:val="24"/>
            </w:rPr>
            <w:t>76</w:t>
          </w:r>
          <w:r>
            <w:rPr>
              <w:rFonts w:hint="eastAsia" w:ascii="仿宋" w:hAnsi="仿宋" w:eastAsia="仿宋" w:cs="仿宋"/>
              <w:sz w:val="24"/>
            </w:rPr>
            <w:fldChar w:fldCharType="end"/>
          </w:r>
          <w:r>
            <w:rPr>
              <w:rFonts w:hint="eastAsia" w:ascii="仿宋" w:hAnsi="仿宋" w:eastAsia="仿宋" w:cs="仿宋"/>
              <w:sz w:val="24"/>
            </w:rPr>
            <w:fldChar w:fldCharType="end"/>
          </w:r>
        </w:p>
        <w:p w14:paraId="4EF220A6">
          <w:pPr>
            <w:pStyle w:val="42"/>
            <w:tabs>
              <w:tab w:val="right" w:leader="dot" w:pos="9638"/>
            </w:tabs>
            <w:rPr>
              <w:rFonts w:ascii="仿宋" w:hAnsi="仿宋" w:eastAsia="仿宋" w:cs="仿宋"/>
              <w:sz w:val="24"/>
            </w:rPr>
          </w:pPr>
          <w:r>
            <w:rPr>
              <w:rFonts w:hint="eastAsia" w:ascii="仿宋" w:hAnsi="仿宋" w:eastAsia="仿宋" w:cs="仿宋"/>
              <w:sz w:val="24"/>
            </w:rPr>
            <w:fldChar w:fldCharType="end"/>
          </w:r>
        </w:p>
      </w:sdtContent>
    </w:sdt>
    <w:p w14:paraId="448190B0">
      <w:pPr>
        <w:pStyle w:val="2"/>
      </w:pPr>
      <w:bookmarkStart w:id="0" w:name="_Toc24386"/>
      <w:r>
        <w:rPr>
          <w:rFonts w:hint="eastAsia"/>
        </w:rPr>
        <w:t>招标文件第一册</w:t>
      </w:r>
      <w:bookmarkStart w:id="124" w:name="_GoBack"/>
      <w:bookmarkEnd w:id="124"/>
      <w:r>
        <w:rPr>
          <w:rFonts w:hint="eastAsia"/>
        </w:rPr>
        <w:t>（专用部分）</w:t>
      </w:r>
      <w:bookmarkEnd w:id="0"/>
    </w:p>
    <w:p w14:paraId="0350B696">
      <w:pPr>
        <w:pStyle w:val="2"/>
      </w:pPr>
      <w:bookmarkStart w:id="1" w:name="_Toc907"/>
      <w:r>
        <w:rPr>
          <w:rFonts w:hint="eastAsia"/>
        </w:rPr>
        <w:t>第一章  投标邀请</w:t>
      </w:r>
      <w:bookmarkEnd w:id="1"/>
    </w:p>
    <w:p w14:paraId="518FFD3B">
      <w:pPr>
        <w:pBdr>
          <w:top w:val="single" w:color="auto" w:sz="4" w:space="1"/>
          <w:left w:val="single" w:color="auto" w:sz="4" w:space="0"/>
          <w:bottom w:val="single" w:color="auto" w:sz="4" w:space="1"/>
          <w:right w:val="single" w:color="auto" w:sz="4" w:space="4"/>
        </w:pBdr>
        <w:spacing w:line="360" w:lineRule="auto"/>
        <w:ind w:firstLine="420" w:firstLineChars="200"/>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项目概况</w:t>
      </w:r>
    </w:p>
    <w:p w14:paraId="3B4AF1EA">
      <w:pPr>
        <w:pBdr>
          <w:top w:val="single" w:color="auto" w:sz="4" w:space="1"/>
          <w:left w:val="single" w:color="auto" w:sz="4" w:space="0"/>
          <w:bottom w:val="single" w:color="auto" w:sz="4" w:space="1"/>
          <w:right w:val="single" w:color="auto" w:sz="4" w:space="4"/>
        </w:pBdr>
        <w:spacing w:line="360" w:lineRule="auto"/>
        <w:ind w:firstLine="420" w:firstLineChars="200"/>
        <w:rPr>
          <w:rFonts w:asciiTheme="minorEastAsia" w:hAnsiTheme="minorEastAsia" w:eastAsiaTheme="minorEastAsia" w:cstheme="minorEastAsia"/>
          <w:snapToGrid w:val="0"/>
          <w:szCs w:val="21"/>
          <w:u w:val="single"/>
        </w:rPr>
      </w:pPr>
      <w:r>
        <w:rPr>
          <w:rFonts w:hint="eastAsia" w:asciiTheme="minorEastAsia" w:hAnsiTheme="minorEastAsia" w:eastAsiaTheme="minorEastAsia" w:cstheme="minorEastAsia"/>
          <w:snapToGrid w:val="0"/>
          <w:kern w:val="0"/>
          <w:szCs w:val="21"/>
          <w:u w:val="single"/>
        </w:rPr>
        <w:t>皇岗海关新皇岗口岸手持式化学探测器采购项目</w:t>
      </w:r>
      <w:r>
        <w:rPr>
          <w:rFonts w:hint="eastAsia" w:asciiTheme="minorEastAsia" w:hAnsiTheme="minorEastAsia" w:eastAsiaTheme="minorEastAsia" w:cstheme="minorEastAsia"/>
          <w:snapToGrid w:val="0"/>
          <w:kern w:val="0"/>
          <w:szCs w:val="21"/>
        </w:rPr>
        <w:t>的潜在投标人应在</w:t>
      </w:r>
      <w:r>
        <w:rPr>
          <w:rFonts w:hint="eastAsia" w:asciiTheme="minorEastAsia" w:hAnsiTheme="minorEastAsia" w:eastAsiaTheme="minorEastAsia" w:cstheme="minorEastAsia"/>
          <w:snapToGrid w:val="0"/>
          <w:szCs w:val="21"/>
          <w:u w:val="single"/>
        </w:rPr>
        <w:t>深圳市福田区民田路171号新华保险大厦903</w:t>
      </w:r>
      <w:r>
        <w:rPr>
          <w:rFonts w:hint="eastAsia" w:asciiTheme="minorEastAsia" w:hAnsiTheme="minorEastAsia" w:eastAsiaTheme="minorEastAsia" w:cstheme="minorEastAsia"/>
          <w:snapToGrid w:val="0"/>
          <w:kern w:val="0"/>
          <w:szCs w:val="21"/>
        </w:rPr>
        <w:t>获取招标文件，并于</w:t>
      </w:r>
      <w:r>
        <w:rPr>
          <w:rFonts w:hint="eastAsia" w:asciiTheme="minorEastAsia" w:hAnsiTheme="minorEastAsia" w:eastAsiaTheme="minorEastAsia" w:cstheme="minorEastAsia"/>
          <w:snapToGrid w:val="0"/>
          <w:kern w:val="0"/>
          <w:szCs w:val="21"/>
          <w:u w:val="single"/>
          <w:lang w:val="en-US" w:eastAsia="zh-CN"/>
        </w:rPr>
        <w:t>2026</w:t>
      </w:r>
      <w:r>
        <w:rPr>
          <w:rFonts w:hint="eastAsia" w:asciiTheme="minorEastAsia" w:hAnsiTheme="minorEastAsia" w:eastAsiaTheme="minorEastAsia" w:cstheme="minorEastAsia"/>
          <w:snapToGrid w:val="0"/>
          <w:kern w:val="0"/>
          <w:szCs w:val="21"/>
          <w:u w:val="single"/>
        </w:rPr>
        <w:t>年</w:t>
      </w:r>
      <w:r>
        <w:rPr>
          <w:rFonts w:hint="eastAsia" w:asciiTheme="minorEastAsia" w:hAnsiTheme="minorEastAsia" w:eastAsiaTheme="minorEastAsia" w:cstheme="minorEastAsia"/>
          <w:snapToGrid w:val="0"/>
          <w:kern w:val="0"/>
          <w:szCs w:val="21"/>
          <w:u w:val="single"/>
          <w:lang w:val="en-US" w:eastAsia="zh-CN"/>
        </w:rPr>
        <w:t>3</w:t>
      </w:r>
      <w:r>
        <w:rPr>
          <w:rFonts w:hint="eastAsia" w:asciiTheme="minorEastAsia" w:hAnsiTheme="minorEastAsia" w:eastAsiaTheme="minorEastAsia" w:cstheme="minorEastAsia"/>
          <w:snapToGrid w:val="0"/>
          <w:kern w:val="0"/>
          <w:szCs w:val="21"/>
          <w:u w:val="single"/>
        </w:rPr>
        <w:t>月</w:t>
      </w:r>
      <w:r>
        <w:rPr>
          <w:rFonts w:hint="eastAsia" w:asciiTheme="minorEastAsia" w:hAnsiTheme="minorEastAsia" w:eastAsiaTheme="minorEastAsia" w:cstheme="minorEastAsia"/>
          <w:snapToGrid w:val="0"/>
          <w:kern w:val="0"/>
          <w:szCs w:val="21"/>
          <w:u w:val="single"/>
          <w:lang w:val="en-US" w:eastAsia="zh-CN"/>
        </w:rPr>
        <w:t>23</w:t>
      </w:r>
      <w:r>
        <w:rPr>
          <w:rFonts w:hint="eastAsia" w:asciiTheme="minorEastAsia" w:hAnsiTheme="minorEastAsia" w:eastAsiaTheme="minorEastAsia" w:cstheme="minorEastAsia"/>
          <w:snapToGrid w:val="0"/>
          <w:kern w:val="0"/>
          <w:szCs w:val="21"/>
          <w:u w:val="single"/>
        </w:rPr>
        <w:t>日</w:t>
      </w:r>
      <w:r>
        <w:rPr>
          <w:rFonts w:hint="eastAsia" w:asciiTheme="minorEastAsia" w:hAnsiTheme="minorEastAsia" w:eastAsiaTheme="minorEastAsia" w:cstheme="minorEastAsia"/>
          <w:snapToGrid w:val="0"/>
          <w:kern w:val="0"/>
          <w:szCs w:val="21"/>
          <w:u w:val="single"/>
          <w:lang w:val="en-US" w:eastAsia="zh-CN"/>
        </w:rPr>
        <w:t>9</w:t>
      </w:r>
      <w:r>
        <w:rPr>
          <w:rFonts w:hint="eastAsia" w:asciiTheme="minorEastAsia" w:hAnsiTheme="minorEastAsia" w:eastAsiaTheme="minorEastAsia" w:cstheme="minorEastAsia"/>
          <w:snapToGrid w:val="0"/>
          <w:kern w:val="0"/>
          <w:szCs w:val="21"/>
          <w:u w:val="single"/>
        </w:rPr>
        <w:t>点30分</w:t>
      </w:r>
      <w:r>
        <w:rPr>
          <w:rFonts w:hint="eastAsia" w:asciiTheme="minorEastAsia" w:hAnsiTheme="minorEastAsia" w:eastAsiaTheme="minorEastAsia" w:cstheme="minorEastAsia"/>
          <w:snapToGrid w:val="0"/>
          <w:kern w:val="0"/>
          <w:szCs w:val="21"/>
        </w:rPr>
        <w:t>（北京时间）前递交投标文件。</w:t>
      </w:r>
    </w:p>
    <w:p w14:paraId="6EC5C763">
      <w:pPr>
        <w:adjustRightInd w:val="0"/>
        <w:snapToGrid w:val="0"/>
        <w:spacing w:line="360" w:lineRule="auto"/>
        <w:ind w:firstLine="420" w:firstLineChars="200"/>
        <w:jc w:val="left"/>
        <w:rPr>
          <w:rFonts w:asciiTheme="minorEastAsia" w:hAnsiTheme="minorEastAsia" w:eastAsiaTheme="minorEastAsia" w:cstheme="minorEastAsia"/>
          <w:snapToGrid w:val="0"/>
          <w:kern w:val="0"/>
          <w:szCs w:val="21"/>
        </w:rPr>
      </w:pPr>
    </w:p>
    <w:p w14:paraId="5DB03333">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一、项目基本情况</w:t>
      </w:r>
    </w:p>
    <w:p w14:paraId="597D5B8B">
      <w:pPr>
        <w:pStyle w:val="455"/>
        <w:widowControl w:val="0"/>
        <w:adjustRightInd w:val="0"/>
        <w:snapToGrid w:val="0"/>
        <w:spacing w:before="0" w:beforeAutospacing="0" w:after="0" w:afterAutospacing="0" w:line="360" w:lineRule="auto"/>
        <w:ind w:left="1413" w:leftChars="202" w:hanging="989" w:hangingChars="471"/>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项目编号：SZZZ2026-QA0042</w:t>
      </w:r>
    </w:p>
    <w:p w14:paraId="2A5B5BBE">
      <w:pPr>
        <w:pStyle w:val="455"/>
        <w:widowControl w:val="0"/>
        <w:adjustRightInd w:val="0"/>
        <w:snapToGrid w:val="0"/>
        <w:spacing w:before="0" w:beforeAutospacing="0" w:after="0" w:afterAutospacing="0" w:line="360" w:lineRule="auto"/>
        <w:ind w:left="1831" w:leftChars="202" w:hanging="1407" w:hangingChars="670"/>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项目名称：皇岗海关新皇岗口岸手持式化学探测器采购项目</w:t>
      </w:r>
    </w:p>
    <w:p w14:paraId="428BF0C8">
      <w:pPr>
        <w:pStyle w:val="455"/>
        <w:widowControl w:val="0"/>
        <w:adjustRightInd w:val="0"/>
        <w:snapToGrid w:val="0"/>
        <w:spacing w:before="0" w:beforeAutospacing="0" w:after="0" w:afterAutospacing="0" w:line="360" w:lineRule="auto"/>
        <w:ind w:left="1831" w:leftChars="202" w:hanging="1407" w:hangingChars="670"/>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采购方式：公开招标</w:t>
      </w:r>
    </w:p>
    <w:p w14:paraId="70C920B6">
      <w:pPr>
        <w:pStyle w:val="455"/>
        <w:widowControl w:val="0"/>
        <w:adjustRightInd w:val="0"/>
        <w:snapToGrid w:val="0"/>
        <w:spacing w:before="0" w:beforeAutospacing="0" w:after="0" w:afterAutospacing="0" w:line="360" w:lineRule="auto"/>
        <w:ind w:left="1831" w:leftChars="202" w:hanging="1407" w:hangingChars="670"/>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预算金额：人民币414,800.00元</w:t>
      </w:r>
    </w:p>
    <w:p w14:paraId="460969DB">
      <w:pPr>
        <w:pStyle w:val="455"/>
        <w:widowControl w:val="0"/>
        <w:adjustRightInd w:val="0"/>
        <w:snapToGrid w:val="0"/>
        <w:spacing w:before="0" w:beforeAutospacing="0" w:after="0" w:afterAutospacing="0" w:line="360" w:lineRule="auto"/>
        <w:ind w:left="1413" w:leftChars="202" w:hanging="989" w:hangingChars="471"/>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采购需求：</w:t>
      </w:r>
    </w:p>
    <w:tbl>
      <w:tblPr>
        <w:tblStyle w:val="51"/>
        <w:tblW w:w="9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34"/>
        <w:gridCol w:w="775"/>
        <w:gridCol w:w="775"/>
        <w:gridCol w:w="4651"/>
        <w:gridCol w:w="1425"/>
      </w:tblGrid>
      <w:tr w14:paraId="6766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0" w:type="dxa"/>
            <w:vAlign w:val="center"/>
          </w:tcPr>
          <w:p w14:paraId="602D760C">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序号</w:t>
            </w:r>
          </w:p>
        </w:tc>
        <w:tc>
          <w:tcPr>
            <w:tcW w:w="1534" w:type="dxa"/>
            <w:vAlign w:val="center"/>
          </w:tcPr>
          <w:p w14:paraId="7AB7C879">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标的名称</w:t>
            </w:r>
          </w:p>
        </w:tc>
        <w:tc>
          <w:tcPr>
            <w:tcW w:w="775" w:type="dxa"/>
          </w:tcPr>
          <w:p w14:paraId="19FE74EA">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数量</w:t>
            </w:r>
          </w:p>
        </w:tc>
        <w:tc>
          <w:tcPr>
            <w:tcW w:w="775" w:type="dxa"/>
          </w:tcPr>
          <w:p w14:paraId="6D7AED25">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单位</w:t>
            </w:r>
          </w:p>
        </w:tc>
        <w:tc>
          <w:tcPr>
            <w:tcW w:w="4651" w:type="dxa"/>
          </w:tcPr>
          <w:p w14:paraId="728503BD">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简要技术需求或服务要求</w:t>
            </w:r>
          </w:p>
        </w:tc>
        <w:tc>
          <w:tcPr>
            <w:tcW w:w="1425" w:type="dxa"/>
          </w:tcPr>
          <w:p w14:paraId="0CD7F842">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备注</w:t>
            </w:r>
          </w:p>
        </w:tc>
      </w:tr>
      <w:tr w14:paraId="7C4D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70" w:type="dxa"/>
            <w:vAlign w:val="center"/>
          </w:tcPr>
          <w:p w14:paraId="107DE8EF">
            <w:pPr>
              <w:adjustRightInd w:val="0"/>
              <w:snapToGrid w:val="0"/>
              <w:spacing w:line="360" w:lineRule="auto"/>
              <w:jc w:val="center"/>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w:t>
            </w:r>
          </w:p>
        </w:tc>
        <w:tc>
          <w:tcPr>
            <w:tcW w:w="1534" w:type="dxa"/>
            <w:vAlign w:val="center"/>
          </w:tcPr>
          <w:p w14:paraId="5AF520F1">
            <w:pPr>
              <w:spacing w:line="360" w:lineRule="auto"/>
              <w:jc w:val="center"/>
              <w:rPr>
                <w:rFonts w:asciiTheme="minorEastAsia" w:hAnsiTheme="minorEastAsia" w:eastAsiaTheme="minorEastAsia" w:cstheme="minorEastAsia"/>
                <w:snapToGrid w:val="0"/>
                <w:kern w:val="0"/>
                <w:szCs w:val="21"/>
              </w:rPr>
            </w:pPr>
            <w:r>
              <w:rPr>
                <w:rFonts w:hint="eastAsia" w:ascii="宋体" w:hAnsi="宋体" w:cs="宋体"/>
                <w:kern w:val="0"/>
                <w:szCs w:val="21"/>
              </w:rPr>
              <w:t>手持式化学探测器</w:t>
            </w:r>
          </w:p>
        </w:tc>
        <w:tc>
          <w:tcPr>
            <w:tcW w:w="775" w:type="dxa"/>
            <w:vAlign w:val="center"/>
          </w:tcPr>
          <w:p w14:paraId="250583A2">
            <w:pPr>
              <w:spacing w:line="360" w:lineRule="auto"/>
              <w:jc w:val="center"/>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zCs w:val="21"/>
              </w:rPr>
              <w:t>2</w:t>
            </w:r>
          </w:p>
        </w:tc>
        <w:tc>
          <w:tcPr>
            <w:tcW w:w="775" w:type="dxa"/>
            <w:vAlign w:val="center"/>
          </w:tcPr>
          <w:p w14:paraId="4B99CA49">
            <w:pPr>
              <w:spacing w:line="360" w:lineRule="auto"/>
              <w:jc w:val="center"/>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zCs w:val="21"/>
              </w:rPr>
              <w:t>套</w:t>
            </w:r>
          </w:p>
        </w:tc>
        <w:tc>
          <w:tcPr>
            <w:tcW w:w="4651" w:type="dxa"/>
            <w:vAlign w:val="center"/>
          </w:tcPr>
          <w:p w14:paraId="798E8D21">
            <w:pPr>
              <w:spacing w:line="360" w:lineRule="auto"/>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本项目采购2台手持式化学探测器，具体要求详见招标文件。</w:t>
            </w:r>
          </w:p>
        </w:tc>
        <w:tc>
          <w:tcPr>
            <w:tcW w:w="1425" w:type="dxa"/>
            <w:vAlign w:val="center"/>
          </w:tcPr>
          <w:p w14:paraId="592638A8">
            <w:pPr>
              <w:spacing w:line="360" w:lineRule="auto"/>
              <w:jc w:val="center"/>
              <w:rPr>
                <w:rFonts w:asciiTheme="minorEastAsia" w:hAnsiTheme="minorEastAsia" w:eastAsiaTheme="minorEastAsia" w:cstheme="minorEastAsia"/>
                <w:snapToGrid w:val="0"/>
                <w:kern w:val="0"/>
                <w:szCs w:val="21"/>
              </w:rPr>
            </w:pPr>
            <w:r>
              <w:rPr>
                <w:rFonts w:hint="eastAsia" w:ascii="宋体" w:hAnsi="宋体" w:cs="宋体"/>
                <w:kern w:val="0"/>
                <w:szCs w:val="21"/>
              </w:rPr>
              <w:t>拒绝进口</w:t>
            </w:r>
          </w:p>
        </w:tc>
      </w:tr>
    </w:tbl>
    <w:p w14:paraId="6F705E45">
      <w:pPr>
        <w:pStyle w:val="455"/>
        <w:widowControl w:val="0"/>
        <w:tabs>
          <w:tab w:val="left" w:pos="8200"/>
        </w:tabs>
        <w:adjustRightInd w:val="0"/>
        <w:snapToGrid w:val="0"/>
        <w:spacing w:before="0" w:beforeAutospacing="0" w:after="0" w:afterAutospacing="0" w:line="360" w:lineRule="auto"/>
        <w:ind w:left="13" w:leftChars="6" w:right="105" w:rightChars="50" w:firstLine="409" w:firstLineChars="195"/>
        <w:rPr>
          <w:rFonts w:asciiTheme="minorEastAsia" w:hAnsiTheme="minorEastAsia" w:eastAsiaTheme="minorEastAsia" w:cstheme="minorEastAsia"/>
          <w:snapToGrid w:val="0"/>
          <w:color w:val="auto"/>
          <w:sz w:val="21"/>
          <w:szCs w:val="21"/>
        </w:rPr>
      </w:pPr>
      <w:r>
        <w:rPr>
          <w:rFonts w:hint="eastAsia" w:ascii="宋体" w:hAnsi="宋体" w:eastAsia="宋体"/>
          <w:snapToGrid w:val="0"/>
          <w:color w:val="auto"/>
          <w:sz w:val="21"/>
          <w:szCs w:val="21"/>
        </w:rPr>
        <w:t>合同履行期限：在合同生效之日起50个日历日内将上述货物全部</w:t>
      </w:r>
      <w:r>
        <w:rPr>
          <w:rFonts w:hint="eastAsia" w:ascii="宋体" w:hAnsi="宋体" w:eastAsia="宋体"/>
          <w:snapToGrid w:val="0"/>
          <w:color w:val="auto"/>
          <w:sz w:val="21"/>
          <w:szCs w:val="21"/>
          <w:lang w:eastAsia="zh-CN"/>
        </w:rPr>
        <w:t>调试完毕</w:t>
      </w:r>
      <w:r>
        <w:rPr>
          <w:rFonts w:hint="eastAsia" w:ascii="宋体" w:hAnsi="宋体" w:eastAsia="宋体"/>
          <w:snapToGrid w:val="0"/>
          <w:color w:val="auto"/>
          <w:sz w:val="21"/>
          <w:szCs w:val="21"/>
        </w:rPr>
        <w:t>并交付使用</w:t>
      </w:r>
      <w:r>
        <w:rPr>
          <w:rFonts w:hint="eastAsia" w:asciiTheme="minorEastAsia" w:hAnsiTheme="minorEastAsia" w:eastAsiaTheme="minorEastAsia" w:cstheme="minorEastAsia"/>
          <w:snapToGrid w:val="0"/>
          <w:color w:val="auto"/>
          <w:sz w:val="21"/>
          <w:szCs w:val="21"/>
        </w:rPr>
        <w:t>。</w:t>
      </w:r>
    </w:p>
    <w:p w14:paraId="2DA149DC">
      <w:pPr>
        <w:pStyle w:val="455"/>
        <w:widowControl w:val="0"/>
        <w:adjustRightInd w:val="0"/>
        <w:snapToGrid w:val="0"/>
        <w:spacing w:before="0" w:beforeAutospacing="0" w:after="0" w:afterAutospacing="0" w:line="360" w:lineRule="auto"/>
        <w:ind w:left="1413" w:leftChars="202" w:hanging="989" w:hangingChars="471"/>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本项目（是/否）接受联合体投标：</w:t>
      </w:r>
      <w:r>
        <w:rPr>
          <w:rFonts w:hint="eastAsia" w:ascii="宋体" w:hAnsi="宋体" w:eastAsia="宋体" w:cs="宋体"/>
          <w:snapToGrid w:val="0"/>
          <w:color w:val="auto"/>
          <w:sz w:val="21"/>
          <w:szCs w:val="21"/>
        </w:rPr>
        <w:t>不接受联合体投标</w:t>
      </w:r>
      <w:r>
        <w:rPr>
          <w:rFonts w:hint="eastAsia" w:asciiTheme="minorEastAsia" w:hAnsiTheme="minorEastAsia" w:eastAsiaTheme="minorEastAsia" w:cstheme="minorEastAsia"/>
          <w:snapToGrid w:val="0"/>
          <w:color w:val="auto"/>
          <w:sz w:val="21"/>
          <w:szCs w:val="21"/>
        </w:rPr>
        <w:t>。</w:t>
      </w:r>
    </w:p>
    <w:p w14:paraId="64962DB2">
      <w:pPr>
        <w:pStyle w:val="411"/>
        <w:ind w:firstLine="420"/>
        <w:rPr>
          <w:rFonts w:asciiTheme="minorEastAsia" w:hAnsiTheme="minorEastAsia" w:eastAsiaTheme="minorEastAsia" w:cstheme="minorEastAsia"/>
          <w:snapToGrid w:val="0"/>
          <w:szCs w:val="21"/>
        </w:rPr>
      </w:pPr>
    </w:p>
    <w:p w14:paraId="04025B46">
      <w:pPr>
        <w:adjustRightInd w:val="0"/>
        <w:snapToGrid w:val="0"/>
        <w:spacing w:line="360" w:lineRule="auto"/>
        <w:ind w:firstLine="105" w:firstLineChars="5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二、申请人的资格要求：</w:t>
      </w:r>
    </w:p>
    <w:p w14:paraId="74E1DAF5">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1.</w:t>
      </w:r>
      <w:r>
        <w:rPr>
          <w:rFonts w:hint="eastAsia" w:ascii="宋体" w:hAnsi="宋体" w:cs="宋体"/>
          <w:szCs w:val="21"/>
          <w:shd w:val="clear" w:color="auto" w:fill="FFFFFF"/>
        </w:rPr>
        <w:t>满足《中华人民共和国政府采购法》第二十二条规定。</w:t>
      </w:r>
    </w:p>
    <w:p w14:paraId="56F09C42">
      <w:pPr>
        <w:adjustRightInd w:val="0"/>
        <w:snapToGrid w:val="0"/>
        <w:spacing w:line="360" w:lineRule="auto"/>
        <w:ind w:firstLine="424" w:firstLineChars="202"/>
        <w:jc w:val="left"/>
        <w:rPr>
          <w:rFonts w:asciiTheme="minorEastAsia" w:hAnsiTheme="minorEastAsia" w:eastAsiaTheme="minorEastAsia" w:cstheme="minorEastAsia"/>
          <w:snapToGrid w:val="0"/>
          <w:kern w:val="0"/>
          <w:szCs w:val="21"/>
        </w:rPr>
      </w:pPr>
      <w:r>
        <w:rPr>
          <w:rFonts w:hint="eastAsia" w:ascii="宋体" w:hAnsi="宋体" w:cs="宋体"/>
          <w:snapToGrid w:val="0"/>
          <w:kern w:val="0"/>
          <w:szCs w:val="21"/>
        </w:rPr>
        <w:t>2</w:t>
      </w:r>
      <w:r>
        <w:rPr>
          <w:rFonts w:hint="eastAsia" w:asciiTheme="minorEastAsia" w:hAnsiTheme="minorEastAsia" w:eastAsiaTheme="minorEastAsia" w:cstheme="minorEastAsia"/>
          <w:snapToGrid w:val="0"/>
          <w:kern w:val="0"/>
          <w:szCs w:val="21"/>
        </w:rPr>
        <w:t>.落实政府采购政策需满足的资格要求：无。</w:t>
      </w:r>
    </w:p>
    <w:p w14:paraId="25A5658D">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3.本项目的特定资格要求：</w:t>
      </w:r>
    </w:p>
    <w:p w14:paraId="4677E007">
      <w:pPr>
        <w:widowControl/>
        <w:adjustRightInd w:val="0"/>
        <w:snapToGrid w:val="0"/>
        <w:spacing w:line="360" w:lineRule="auto"/>
        <w:ind w:firstLine="424" w:firstLineChars="202"/>
        <w:jc w:val="left"/>
        <w:rPr>
          <w:rFonts w:ascii="宋体" w:hAnsi="宋体"/>
          <w:snapToGrid w:val="0"/>
        </w:rPr>
      </w:pPr>
      <w:r>
        <w:rPr>
          <w:rFonts w:hint="eastAsia" w:ascii="宋体" w:hAnsi="宋体" w:cs="宋体"/>
          <w:snapToGrid w:val="0"/>
          <w:kern w:val="0"/>
          <w:szCs w:val="21"/>
        </w:rPr>
        <w:t>（1）</w:t>
      </w:r>
      <w:r>
        <w:rPr>
          <w:rFonts w:hint="eastAsia" w:ascii="宋体" w:hAnsi="宋体"/>
          <w:snapToGrid w:val="0"/>
        </w:rPr>
        <w:t>具有独立承担民事责任能力的法人或其他组织或自然人（提供营业执照或法人证书等证明材料复印件或扫描件加盖投标人公章）。如果是分支机构参与投标，还须同时提供其具有独立法人资格的上级主体出具的有效授权书及上级主体的营业执照或法人证书等证明材料复印件或扫描件加盖投标人公章；本项目不接受总公司与分支机构同时参与投标，也不接受同一总公司有两个或以上分支机构参与投标，如出现以上情形，该两家或以上投标人均按无效投标处理；</w:t>
      </w:r>
    </w:p>
    <w:p w14:paraId="0D740237">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snapToGrid w:val="0"/>
        </w:rPr>
        <w:t>（2）</w:t>
      </w:r>
      <w:r>
        <w:rPr>
          <w:rFonts w:hint="eastAsia" w:ascii="宋体" w:hAnsi="宋体" w:cs="宋体"/>
          <w:snapToGrid w:val="0"/>
          <w:kern w:val="0"/>
          <w:szCs w:val="21"/>
        </w:rPr>
        <w:t>参与本项目采购活动前三年内，在经营活动中没有重大违法记录（由投标人提供声明函加盖投标人公章，格式自拟）；</w:t>
      </w:r>
    </w:p>
    <w:p w14:paraId="0194039E">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（3）参与本项目政府采购活动时不存在被有关部门禁止参与政府采购活动且在有效期内的情况（由投标人提供声明函加盖投标人公章，格式自拟）；</w:t>
      </w:r>
    </w:p>
    <w:p w14:paraId="5F153FC4">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（4）除单一来源采购项目外，为采购项目提供整体设计、规范编制或者项目管理、监理、检测等服务的供应商，不得再参加该采购项目的其他采购活动（由投标人提供声明函加盖投标人公章，格式自拟）；</w:t>
      </w:r>
    </w:p>
    <w:p w14:paraId="614CA52C">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（5）参与本项目政府采购活动不存在与其他采购参加人串通投标，隐瞒真实情况，提供虚假资料等违法违规情形（由投标人提供声明函加盖投标人公章，格式自拟）；</w:t>
      </w:r>
    </w:p>
    <w:p w14:paraId="00B3F64A">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（6）</w:t>
      </w:r>
      <w:r>
        <w:rPr>
          <w:rFonts w:hint="eastAsia" w:ascii="宋体" w:hAnsi="宋体"/>
          <w:snapToGrid w:val="0"/>
        </w:rPr>
        <w:t>不同投标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投标供应商须填写《供应商基本情况表》，请各供应商认真阅读表格注意事项后谨慎填表，填写不规范导致无法进行审查将视同审查不通过）；</w:t>
      </w:r>
    </w:p>
    <w:p w14:paraId="06AD20EC">
      <w:pPr>
        <w:widowControl/>
        <w:adjustRightInd w:val="0"/>
        <w:snapToGrid w:val="0"/>
        <w:spacing w:line="360" w:lineRule="auto"/>
        <w:ind w:firstLine="424" w:firstLineChars="202"/>
        <w:jc w:val="left"/>
        <w:rPr>
          <w:rFonts w:ascii="宋体" w:hAnsi="宋体" w:cs="宋体"/>
          <w:snapToGrid w:val="0"/>
          <w:kern w:val="0"/>
          <w:szCs w:val="21"/>
        </w:rPr>
      </w:pPr>
      <w:r>
        <w:rPr>
          <w:rFonts w:hint="eastAsia" w:ascii="宋体" w:hAnsi="宋体" w:cs="宋体"/>
          <w:snapToGrid w:val="0"/>
          <w:kern w:val="0"/>
          <w:szCs w:val="21"/>
        </w:rPr>
        <w:t>（7）未被列入失信被执行人、重大税收违法案件当事人名单及政府采购严重违法失信行为记录名单（信用中国网“信用服务”栏的“重大税收违法失信主体”、“失信被执行人”，中国政府采购网“政府采购严重违法失信行为记录名单”为投标人信用信息查询渠道，相关信息以开标当日的查询结果为准。由采购代理机构查询，投标人无需提供证明材料）；</w:t>
      </w:r>
    </w:p>
    <w:p w14:paraId="201FCF3A">
      <w:pPr>
        <w:pStyle w:val="455"/>
        <w:widowControl w:val="0"/>
        <w:adjustRightInd w:val="0"/>
        <w:snapToGrid w:val="0"/>
        <w:spacing w:before="0" w:beforeAutospacing="0" w:after="0" w:afterAutospacing="0" w:line="360" w:lineRule="auto"/>
        <w:ind w:firstLine="424" w:firstLineChars="202"/>
        <w:rPr>
          <w:rFonts w:ascii="宋体" w:hAnsi="宋体" w:cs="宋体" w:eastAsiaTheme="minorEastAsia"/>
          <w:snapToGrid w:val="0"/>
          <w:color w:val="auto"/>
          <w:sz w:val="21"/>
          <w:szCs w:val="21"/>
        </w:rPr>
      </w:pPr>
      <w:r>
        <w:rPr>
          <w:rFonts w:hint="eastAsia" w:ascii="宋体" w:hAnsi="宋体" w:eastAsia="宋体" w:cs="宋体"/>
          <w:snapToGrid w:val="0"/>
          <w:color w:val="auto"/>
          <w:sz w:val="21"/>
          <w:szCs w:val="21"/>
        </w:rPr>
        <w:t>（8）本项目不接受联合体投标，不允许转包或分包</w:t>
      </w:r>
      <w:r>
        <w:rPr>
          <w:rFonts w:hint="eastAsia" w:asciiTheme="minorEastAsia" w:hAnsiTheme="minorEastAsia" w:eastAsiaTheme="minorEastAsia" w:cstheme="minorEastAsia"/>
          <w:snapToGrid w:val="0"/>
          <w:color w:val="auto"/>
          <w:sz w:val="21"/>
          <w:szCs w:val="21"/>
        </w:rPr>
        <w:t>（由投标人提供</w:t>
      </w:r>
      <w:r>
        <w:rPr>
          <w:rFonts w:hint="eastAsia" w:ascii="宋体" w:hAnsi="宋体" w:eastAsia="宋体" w:cs="宋体"/>
          <w:snapToGrid w:val="0"/>
          <w:color w:val="auto"/>
          <w:sz w:val="21"/>
          <w:szCs w:val="21"/>
        </w:rPr>
        <w:t>声明函加盖投标人公章</w:t>
      </w:r>
      <w:r>
        <w:rPr>
          <w:rFonts w:hint="eastAsia" w:asciiTheme="minorEastAsia" w:hAnsiTheme="minorEastAsia" w:eastAsiaTheme="minorEastAsia" w:cstheme="minorEastAsia"/>
          <w:snapToGrid w:val="0"/>
          <w:color w:val="auto"/>
          <w:sz w:val="21"/>
          <w:szCs w:val="21"/>
        </w:rPr>
        <w:t>，格式自拟）；</w:t>
      </w:r>
    </w:p>
    <w:p w14:paraId="2BEC9123">
      <w:pPr>
        <w:pStyle w:val="455"/>
        <w:widowControl w:val="0"/>
        <w:adjustRightInd w:val="0"/>
        <w:snapToGrid w:val="0"/>
        <w:spacing w:before="0" w:beforeAutospacing="0" w:after="0" w:afterAutospacing="0" w:line="360" w:lineRule="auto"/>
        <w:ind w:firstLine="420" w:firstLineChars="200"/>
        <w:rPr>
          <w:rFonts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（9）</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43F889C1">
      <w:pPr>
        <w:adjustRightInd w:val="0"/>
        <w:snapToGrid w:val="0"/>
        <w:spacing w:line="360" w:lineRule="auto"/>
        <w:ind w:firstLine="424" w:firstLineChars="202"/>
        <w:jc w:val="left"/>
        <w:rPr>
          <w:rFonts w:asciiTheme="minorEastAsia" w:hAnsiTheme="minorEastAsia" w:eastAsiaTheme="minorEastAsia" w:cstheme="minorEastAsia"/>
          <w:snapToGrid w:val="0"/>
          <w:kern w:val="0"/>
          <w:szCs w:val="21"/>
        </w:rPr>
      </w:pPr>
    </w:p>
    <w:p w14:paraId="5FD568EE">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 xml:space="preserve">三、获取招标文件 </w:t>
      </w:r>
    </w:p>
    <w:p w14:paraId="6E54A29F">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13</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6F0EF215">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02AD84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方式：现场获取或线上获取</w:t>
      </w:r>
    </w:p>
    <w:p w14:paraId="4F7DDA2B">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759D9705">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479CF21D">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招标文件售后不退，购买招标文件账号信息如下：</w:t>
      </w:r>
    </w:p>
    <w:p w14:paraId="7F9B838D">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1854590C">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650E3F25">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677943F7">
      <w:pPr>
        <w:pStyle w:val="455"/>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售价：人民币600元</w:t>
      </w:r>
    </w:p>
    <w:p w14:paraId="43D9EED1">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p>
    <w:p w14:paraId="19FF6F28">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四、提交投标文件截止时间、开标时间和地点</w:t>
      </w:r>
    </w:p>
    <w:p w14:paraId="39BFD239">
      <w:pPr>
        <w:pStyle w:val="455"/>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cs="宋体"/>
          <w:color w:val="auto"/>
          <w:sz w:val="21"/>
          <w:szCs w:val="21"/>
          <w:shd w:val="clear" w:color="auto" w:fill="FFFFFF"/>
        </w:rPr>
        <w:t>提交投标文件截止时间</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u w:val="single"/>
        </w:rPr>
        <w:t>2026年3月23日9点30分（北京时间）</w:t>
      </w:r>
    </w:p>
    <w:p w14:paraId="337A0DC0">
      <w:pPr>
        <w:pStyle w:val="455"/>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cs="宋体"/>
          <w:color w:val="auto"/>
          <w:sz w:val="21"/>
          <w:szCs w:val="21"/>
          <w:shd w:val="clear" w:color="auto" w:fill="FFFFFF"/>
        </w:rPr>
        <w:t>开标时间</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u w:val="single"/>
        </w:rPr>
        <w:t>2026年3月23日9点30分（北京时间）</w:t>
      </w:r>
    </w:p>
    <w:p w14:paraId="61B38079">
      <w:pPr>
        <w:pStyle w:val="455"/>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6F98860">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p>
    <w:p w14:paraId="621865D1">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五、公告期限</w:t>
      </w:r>
    </w:p>
    <w:p w14:paraId="623C891E">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自本公告发布之日起5个工作日。</w:t>
      </w:r>
    </w:p>
    <w:p w14:paraId="16E5DAF2">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p>
    <w:p w14:paraId="6E5C2ED3">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六、其他补充事宜</w:t>
      </w:r>
    </w:p>
    <w:p w14:paraId="18DC5278">
      <w:pPr>
        <w:pStyle w:val="19"/>
        <w:spacing w:line="360" w:lineRule="auto"/>
        <w:ind w:firstLine="420" w:firstLineChars="200"/>
        <w:rPr>
          <w:rFonts w:asciiTheme="minorEastAsia" w:hAnsiTheme="minorEastAsia" w:eastAsiaTheme="minorEastAsia" w:cstheme="minorEastAsia"/>
          <w:bCs/>
          <w:snapToGrid w:val="0"/>
          <w:szCs w:val="21"/>
          <w:u w:val="single"/>
        </w:rPr>
      </w:pPr>
      <w:r>
        <w:rPr>
          <w:rFonts w:hint="eastAsia" w:asciiTheme="minorEastAsia" w:hAnsiTheme="minorEastAsia" w:eastAsiaTheme="minorEastAsia" w:cstheme="minorEastAsia"/>
          <w:bCs/>
          <w:snapToGrid w:val="0"/>
          <w:szCs w:val="21"/>
        </w:rPr>
        <w:t>1.本项目所属行业为</w:t>
      </w:r>
      <w:r>
        <w:rPr>
          <w:rFonts w:hint="eastAsia" w:asciiTheme="minorEastAsia" w:hAnsiTheme="minorEastAsia" w:eastAsiaTheme="minorEastAsia" w:cstheme="minorEastAsia"/>
          <w:bCs/>
          <w:snapToGrid w:val="0"/>
          <w:szCs w:val="21"/>
          <w:u w:val="single"/>
        </w:rPr>
        <w:t xml:space="preserve">  </w:t>
      </w:r>
      <w:r>
        <w:rPr>
          <w:rFonts w:hint="eastAsia"/>
          <w:u w:val="single"/>
        </w:rPr>
        <w:t xml:space="preserve">  工业  </w:t>
      </w:r>
      <w:r>
        <w:rPr>
          <w:rFonts w:hint="eastAsia" w:asciiTheme="minorEastAsia" w:hAnsiTheme="minorEastAsia" w:eastAsiaTheme="minorEastAsia" w:cstheme="minorEastAsia"/>
          <w:bCs/>
          <w:snapToGrid w:val="0"/>
          <w:szCs w:val="21"/>
          <w:u w:val="single"/>
        </w:rPr>
        <w:t xml:space="preserve">  。</w:t>
      </w:r>
    </w:p>
    <w:p w14:paraId="12E8C99C">
      <w:pPr>
        <w:adjustRightInd w:val="0"/>
        <w:snapToGrid w:val="0"/>
        <w:spacing w:line="360" w:lineRule="auto"/>
        <w:ind w:firstLine="424" w:firstLineChars="202"/>
        <w:jc w:val="left"/>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2.本项目需要落实的政府采购政策：《财政部工业和信息化部关于印发《政府采购促进中小企业发展管理办法》的通知》(财库〔2020〕46号)、《关于政府采购支持监狱企业发展有关问题的通知》(财库〔2014〕68号)、《关于促进残疾人就业政府采购政策的通知》（财库〔2017〕141号)</w:t>
      </w:r>
      <w:r>
        <w:rPr>
          <w:rFonts w:hint="eastAsia" w:ascii="宋体" w:hAnsi="宋体" w:cs="宋体"/>
          <w:bCs/>
          <w:snapToGrid w:val="0"/>
          <w:szCs w:val="21"/>
        </w:rPr>
        <w:t>、</w:t>
      </w:r>
      <w:r>
        <w:rPr>
          <w:rFonts w:hint="eastAsia" w:ascii="宋体" w:hAnsi="宋体" w:cs="宋体"/>
          <w:color w:val="000000"/>
          <w:szCs w:val="21"/>
          <w:shd w:val="clear" w:color="auto" w:fill="FFFFFF"/>
        </w:rPr>
        <w:t>《国务院办公厅关于在政府采购中实施本国产品标准及相关政策的通知》（国办发〔2025〕34号）</w:t>
      </w:r>
      <w:r>
        <w:rPr>
          <w:rFonts w:hint="eastAsia" w:asciiTheme="minorEastAsia" w:hAnsiTheme="minorEastAsia" w:eastAsiaTheme="minorEastAsia" w:cstheme="minorEastAsia"/>
          <w:bCs/>
          <w:snapToGrid w:val="0"/>
          <w:szCs w:val="21"/>
        </w:rPr>
        <w:t>。</w:t>
      </w:r>
    </w:p>
    <w:p w14:paraId="33689DE5">
      <w:pPr>
        <w:adjustRightInd w:val="0"/>
        <w:snapToGrid w:val="0"/>
        <w:spacing w:line="360" w:lineRule="auto"/>
        <w:ind w:firstLine="424" w:firstLineChars="202"/>
        <w:jc w:val="left"/>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3.本项目相关公告在以下媒体发布：</w:t>
      </w:r>
    </w:p>
    <w:p w14:paraId="329AAA83">
      <w:pPr>
        <w:adjustRightInd w:val="0"/>
        <w:snapToGrid w:val="0"/>
        <w:spacing w:line="360" w:lineRule="auto"/>
        <w:ind w:firstLine="424" w:firstLineChars="202"/>
        <w:jc w:val="left"/>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（1）中国政府采购网（www.ccgp.gov.cn）；</w:t>
      </w:r>
    </w:p>
    <w:p w14:paraId="77967659">
      <w:pPr>
        <w:adjustRightInd w:val="0"/>
        <w:snapToGrid w:val="0"/>
        <w:spacing w:line="360" w:lineRule="auto"/>
        <w:ind w:firstLine="424" w:firstLineChars="202"/>
        <w:jc w:val="left"/>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（2）深圳海关门户网（http://shenzhen.customs.gov.cn）；</w:t>
      </w:r>
    </w:p>
    <w:p w14:paraId="7E05A6B1">
      <w:pPr>
        <w:adjustRightInd w:val="0"/>
        <w:snapToGrid w:val="0"/>
        <w:spacing w:line="360" w:lineRule="auto"/>
        <w:ind w:firstLine="424" w:firstLineChars="202"/>
        <w:jc w:val="left"/>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（3）深圳市中正招标网（www.szzzt.com）；</w:t>
      </w:r>
    </w:p>
    <w:p w14:paraId="50685EC0">
      <w:pPr>
        <w:adjustRightInd w:val="0"/>
        <w:snapToGrid w:val="0"/>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napToGrid w:val="0"/>
          <w:kern w:val="0"/>
          <w:szCs w:val="21"/>
        </w:rPr>
        <w:t>相关公告在以上媒体上公布之日即视为有效送达，不再另行通知。</w:t>
      </w:r>
    </w:p>
    <w:p w14:paraId="1FC8B787">
      <w:pPr>
        <w:adjustRightInd w:val="0"/>
        <w:snapToGrid w:val="0"/>
        <w:spacing w:line="360" w:lineRule="auto"/>
        <w:ind w:firstLine="424" w:firstLineChars="202"/>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4.</w:t>
      </w:r>
      <w:r>
        <w:rPr>
          <w:rFonts w:hint="eastAsia" w:asciiTheme="minorEastAsia" w:hAnsiTheme="minorEastAsia" w:eastAsiaTheme="minorEastAsia" w:cstheme="minorEastAsia"/>
          <w:bCs/>
          <w:snapToGrid w:val="0"/>
          <w:szCs w:val="21"/>
        </w:rPr>
        <w:t>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r>
        <w:rPr>
          <w:rFonts w:hint="eastAsia" w:asciiTheme="minorEastAsia" w:hAnsiTheme="minorEastAsia" w:eastAsiaTheme="minorEastAsia" w:cstheme="minorEastAsia"/>
          <w:bCs/>
          <w:snapToGrid w:val="0"/>
          <w:kern w:val="0"/>
          <w:szCs w:val="21"/>
        </w:rPr>
        <w:t>。</w:t>
      </w:r>
    </w:p>
    <w:p w14:paraId="324A1DCA">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p>
    <w:p w14:paraId="5FB7526C">
      <w:pPr>
        <w:adjustRightInd w:val="0"/>
        <w:snapToGrid w:val="0"/>
        <w:spacing w:line="360" w:lineRule="auto"/>
        <w:ind w:left="360" w:leftChars="1" w:hanging="358" w:hangingChars="170"/>
        <w:jc w:val="left"/>
        <w:rPr>
          <w:rFonts w:asciiTheme="minorEastAsia" w:hAnsiTheme="minorEastAsia" w:eastAsiaTheme="minorEastAsia" w:cstheme="minorEastAsia"/>
          <w:b/>
          <w:snapToGrid w:val="0"/>
          <w:kern w:val="0"/>
          <w:szCs w:val="21"/>
        </w:rPr>
      </w:pPr>
      <w:r>
        <w:rPr>
          <w:rFonts w:hint="eastAsia" w:asciiTheme="minorEastAsia" w:hAnsiTheme="minorEastAsia" w:eastAsiaTheme="minorEastAsia" w:cstheme="minorEastAsia"/>
          <w:b/>
          <w:snapToGrid w:val="0"/>
          <w:kern w:val="0"/>
          <w:szCs w:val="21"/>
        </w:rPr>
        <w:t>七、凡对本次招标提出询问，请按以下方式联系。</w:t>
      </w:r>
    </w:p>
    <w:p w14:paraId="530384D4">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1.采购人信息</w:t>
      </w:r>
    </w:p>
    <w:p w14:paraId="1322FD8D">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名称：中华人民共和国皇岗海关</w:t>
      </w:r>
    </w:p>
    <w:p w14:paraId="0E525243">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地址：深圳市福田南路22号皇岗海关</w:t>
      </w:r>
    </w:p>
    <w:p w14:paraId="4191B2F8">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联系方式：林先生，0755-84396729</w:t>
      </w:r>
    </w:p>
    <w:p w14:paraId="5FBEC618">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2.采购代理机构信息</w:t>
      </w:r>
    </w:p>
    <w:p w14:paraId="44184FBA">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名称：深圳市中正招标有限公司</w:t>
      </w:r>
    </w:p>
    <w:p w14:paraId="51BE38BF">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地址：深圳市福田区民田路171号新华保险大厦903</w:t>
      </w:r>
    </w:p>
    <w:p w14:paraId="182E2638">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联系方式：林先生，0755-83026699</w:t>
      </w:r>
    </w:p>
    <w:p w14:paraId="203784B1">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3.项目联系方式</w:t>
      </w:r>
    </w:p>
    <w:p w14:paraId="492B3FBF">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项目联系人：林先生</w:t>
      </w:r>
    </w:p>
    <w:p w14:paraId="104172F4">
      <w:pPr>
        <w:adjustRightInd w:val="0"/>
        <w:snapToGrid w:val="0"/>
        <w:spacing w:line="360" w:lineRule="auto"/>
        <w:ind w:left="359" w:leftChars="171" w:firstLine="65" w:firstLineChars="31"/>
        <w:jc w:val="lef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联系电话：0755-83026699</w:t>
      </w:r>
    </w:p>
    <w:p w14:paraId="35C01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29" w:leftChars="2628" w:hanging="210" w:hangingChars="100"/>
        <w:jc w:val="right"/>
        <w:rPr>
          <w:rFonts w:asciiTheme="minorEastAsia" w:hAnsiTheme="minorEastAsia" w:eastAsiaTheme="minorEastAsia" w:cstheme="minorEastAsia"/>
          <w:snapToGrid w:val="0"/>
          <w:kern w:val="0"/>
          <w:szCs w:val="21"/>
        </w:rPr>
      </w:pPr>
    </w:p>
    <w:p w14:paraId="20CD1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29" w:leftChars="2628" w:hanging="210" w:hangingChars="100"/>
        <w:jc w:val="righ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rPr>
        <w:t>深圳市中正招标有限公司</w:t>
      </w:r>
    </w:p>
    <w:p w14:paraId="2F81E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29" w:leftChars="2628" w:hanging="210" w:hangingChars="100"/>
        <w:jc w:val="right"/>
        <w:rPr>
          <w:rFonts w:asciiTheme="minorEastAsia" w:hAnsiTheme="minorEastAsia" w:eastAsiaTheme="minorEastAsia" w:cstheme="minorEastAsia"/>
          <w:snapToGrid w:val="0"/>
          <w:kern w:val="0"/>
          <w:szCs w:val="21"/>
        </w:rPr>
      </w:pPr>
      <w:r>
        <w:rPr>
          <w:rFonts w:hint="eastAsia" w:asciiTheme="minorEastAsia" w:hAnsiTheme="minorEastAsia" w:eastAsiaTheme="minorEastAsia" w:cstheme="minorEastAsia"/>
          <w:snapToGrid w:val="0"/>
          <w:kern w:val="0"/>
          <w:szCs w:val="21"/>
          <w:lang w:val="en-US" w:eastAsia="zh-CN"/>
        </w:rPr>
        <w:t>2026</w:t>
      </w:r>
      <w:r>
        <w:rPr>
          <w:rFonts w:hint="eastAsia" w:asciiTheme="minorEastAsia" w:hAnsiTheme="minorEastAsia" w:eastAsiaTheme="minorEastAsia" w:cstheme="minorEastAsia"/>
          <w:snapToGrid w:val="0"/>
          <w:kern w:val="0"/>
          <w:szCs w:val="21"/>
        </w:rPr>
        <w:t>年</w:t>
      </w:r>
      <w:r>
        <w:rPr>
          <w:rFonts w:hint="eastAsia" w:asciiTheme="minorEastAsia" w:hAnsiTheme="minorEastAsia" w:eastAsiaTheme="minorEastAsia" w:cstheme="minorEastAsia"/>
          <w:snapToGrid w:val="0"/>
          <w:kern w:val="0"/>
          <w:szCs w:val="21"/>
          <w:lang w:val="en-US" w:eastAsia="zh-CN"/>
        </w:rPr>
        <w:t>2</w:t>
      </w:r>
      <w:r>
        <w:rPr>
          <w:rFonts w:hint="eastAsia" w:asciiTheme="minorEastAsia" w:hAnsiTheme="minorEastAsia" w:eastAsiaTheme="minorEastAsia" w:cstheme="minorEastAsia"/>
          <w:snapToGrid w:val="0"/>
          <w:kern w:val="0"/>
          <w:szCs w:val="21"/>
        </w:rPr>
        <w:t>月</w:t>
      </w:r>
      <w:r>
        <w:rPr>
          <w:rFonts w:hint="eastAsia" w:asciiTheme="minorEastAsia" w:hAnsiTheme="minorEastAsia" w:eastAsiaTheme="minorEastAsia" w:cstheme="minorEastAsia"/>
          <w:snapToGrid w:val="0"/>
          <w:kern w:val="0"/>
          <w:szCs w:val="21"/>
          <w:lang w:val="en-US" w:eastAsia="zh-CN"/>
        </w:rPr>
        <w:t>28</w:t>
      </w:r>
      <w:r>
        <w:rPr>
          <w:rFonts w:hint="eastAsia" w:asciiTheme="minorEastAsia" w:hAnsiTheme="minorEastAsia" w:eastAsiaTheme="minorEastAsia" w:cstheme="minorEastAsia"/>
          <w:snapToGrid w:val="0"/>
          <w:kern w:val="0"/>
          <w:szCs w:val="21"/>
        </w:rPr>
        <w:t>日</w:t>
      </w:r>
    </w:p>
    <w:p w14:paraId="3C74096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0F6DFAC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660A1DCA">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158812E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6ADBDB6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66886F2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449435E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2965631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133C982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562D985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rFonts w:asciiTheme="minorEastAsia" w:hAnsiTheme="minorEastAsia" w:eastAsiaTheme="minorEastAsia" w:cstheme="minorEastAsia"/>
          <w:snapToGrid w:val="0"/>
          <w:kern w:val="0"/>
          <w:szCs w:val="21"/>
        </w:rPr>
      </w:pPr>
    </w:p>
    <w:p w14:paraId="2DA60A7D">
      <w:pPr>
        <w:widowControl/>
        <w:jc w:val="left"/>
        <w:rPr>
          <w:rFonts w:asciiTheme="minorEastAsia" w:hAnsiTheme="minorEastAsia" w:eastAsiaTheme="minorEastAsia" w:cstheme="minorEastAsia"/>
          <w:snapToGrid w:val="0"/>
          <w:kern w:val="0"/>
          <w:szCs w:val="21"/>
        </w:rPr>
      </w:pPr>
      <w:r>
        <w:rPr>
          <w:rFonts w:asciiTheme="minorEastAsia" w:hAnsiTheme="minorEastAsia" w:eastAsiaTheme="minorEastAsia" w:cstheme="minorEastAsia"/>
          <w:snapToGrid w:val="0"/>
          <w:kern w:val="0"/>
          <w:szCs w:val="21"/>
        </w:rPr>
        <w:br w:type="page"/>
      </w:r>
    </w:p>
    <w:p w14:paraId="2DA6AD8F">
      <w:pPr>
        <w:pStyle w:val="2"/>
      </w:pPr>
      <w:bookmarkStart w:id="2" w:name="_Toc32052"/>
      <w:r>
        <w:rPr>
          <w:rFonts w:hint="eastAsia"/>
        </w:rPr>
        <w:t>第二章  项目需求</w:t>
      </w:r>
      <w:bookmarkEnd w:id="2"/>
    </w:p>
    <w:p w14:paraId="58412271">
      <w:pPr>
        <w:spacing w:afterLines="50" w:line="360" w:lineRule="auto"/>
        <w:ind w:left="2"/>
        <w:jc w:val="center"/>
        <w:rPr>
          <w:rFonts w:ascii="宋体" w:hAnsi="宋体"/>
          <w:b/>
          <w:sz w:val="28"/>
          <w:szCs w:val="28"/>
        </w:rPr>
      </w:pPr>
      <w:r>
        <w:rPr>
          <w:rFonts w:hint="eastAsia" w:ascii="宋体" w:hAnsi="宋体"/>
          <w:b/>
          <w:sz w:val="28"/>
          <w:szCs w:val="28"/>
        </w:rPr>
        <w:t>特别说明</w:t>
      </w:r>
    </w:p>
    <w:p w14:paraId="3979254B">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57FF7704">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50B38BE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3499793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投标供应商须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77929CDD">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4、对于定制类产品，投标人需在投标文件“分项报价表”中明确注明“定制”，否则该产品技术参数按负偏离处理。</w:t>
      </w:r>
    </w:p>
    <w:p w14:paraId="3097EE56">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5、加注▲的条款为重要条款要求，如不满足将按照第三章的“评标标准”进行扣分。</w:t>
      </w:r>
    </w:p>
    <w:p w14:paraId="3B76AC86">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rPr>
        <w:t>6、加注★的条款为不可负偏离条款，任一项未响应或不满足要求的，将导致投标无效。</w:t>
      </w:r>
    </w:p>
    <w:p w14:paraId="0C44FC97">
      <w:pPr>
        <w:spacing w:line="360" w:lineRule="auto"/>
        <w:ind w:left="510"/>
        <w:rPr>
          <w:rFonts w:eastAsia="黑体"/>
          <w:bCs/>
          <w:snapToGrid w:val="0"/>
          <w:kern w:val="0"/>
          <w:sz w:val="24"/>
        </w:rPr>
      </w:pPr>
    </w:p>
    <w:p w14:paraId="4AE093BE">
      <w:pPr>
        <w:spacing w:line="360" w:lineRule="auto"/>
        <w:ind w:left="2"/>
        <w:rPr>
          <w:rFonts w:ascii="宋体" w:hAnsi="宋体"/>
          <w:b/>
          <w:sz w:val="24"/>
        </w:rPr>
      </w:pPr>
      <w:r>
        <w:rPr>
          <w:rFonts w:hint="eastAsia" w:ascii="宋体" w:hAnsi="宋体"/>
          <w:b/>
          <w:sz w:val="24"/>
        </w:rPr>
        <w:t>一、采购范围</w:t>
      </w:r>
    </w:p>
    <w:tbl>
      <w:tblPr>
        <w:tblStyle w:val="51"/>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3082"/>
        <w:gridCol w:w="1065"/>
        <w:gridCol w:w="1065"/>
        <w:gridCol w:w="2100"/>
        <w:gridCol w:w="1118"/>
      </w:tblGrid>
      <w:tr w14:paraId="1558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33" w:type="dxa"/>
            <w:tcBorders>
              <w:top w:val="single" w:color="auto" w:sz="4" w:space="0"/>
              <w:left w:val="single" w:color="auto" w:sz="4" w:space="0"/>
              <w:bottom w:val="single" w:color="auto" w:sz="4" w:space="0"/>
              <w:right w:val="single" w:color="auto" w:sz="4" w:space="0"/>
            </w:tcBorders>
            <w:vAlign w:val="center"/>
          </w:tcPr>
          <w:p w14:paraId="7D965568">
            <w:pPr>
              <w:spacing w:line="360" w:lineRule="auto"/>
              <w:jc w:val="center"/>
              <w:rPr>
                <w:rFonts w:ascii="宋体" w:hAnsi="宋体" w:cs="宋体"/>
                <w:b/>
                <w:kern w:val="0"/>
                <w:szCs w:val="21"/>
              </w:rPr>
            </w:pPr>
            <w:r>
              <w:rPr>
                <w:rFonts w:hint="eastAsia" w:ascii="宋体" w:hAnsi="宋体" w:cs="宋体"/>
                <w:b/>
                <w:kern w:val="0"/>
                <w:szCs w:val="21"/>
              </w:rPr>
              <w:t>序号</w:t>
            </w:r>
          </w:p>
        </w:tc>
        <w:tc>
          <w:tcPr>
            <w:tcW w:w="3082" w:type="dxa"/>
            <w:tcBorders>
              <w:top w:val="single" w:color="auto" w:sz="4" w:space="0"/>
              <w:left w:val="single" w:color="auto" w:sz="4" w:space="0"/>
              <w:bottom w:val="single" w:color="auto" w:sz="4" w:space="0"/>
              <w:right w:val="single" w:color="auto" w:sz="4" w:space="0"/>
            </w:tcBorders>
            <w:vAlign w:val="center"/>
          </w:tcPr>
          <w:p w14:paraId="0C087B3B">
            <w:pPr>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065" w:type="dxa"/>
            <w:tcBorders>
              <w:top w:val="single" w:color="auto" w:sz="4" w:space="0"/>
              <w:left w:val="single" w:color="auto" w:sz="4" w:space="0"/>
              <w:bottom w:val="single" w:color="auto" w:sz="4" w:space="0"/>
              <w:right w:val="single" w:color="auto" w:sz="4" w:space="0"/>
            </w:tcBorders>
            <w:vAlign w:val="center"/>
          </w:tcPr>
          <w:p w14:paraId="3EE84DD4">
            <w:pPr>
              <w:spacing w:line="360" w:lineRule="auto"/>
              <w:jc w:val="center"/>
              <w:rPr>
                <w:rFonts w:ascii="宋体" w:hAnsi="宋体" w:cs="宋体"/>
                <w:b/>
                <w:kern w:val="0"/>
                <w:szCs w:val="21"/>
              </w:rPr>
            </w:pPr>
            <w:r>
              <w:rPr>
                <w:rFonts w:hint="eastAsia" w:ascii="宋体" w:hAnsi="宋体" w:cs="宋体"/>
                <w:b/>
                <w:kern w:val="0"/>
                <w:szCs w:val="21"/>
              </w:rPr>
              <w:t>数量</w:t>
            </w:r>
          </w:p>
        </w:tc>
        <w:tc>
          <w:tcPr>
            <w:tcW w:w="1065" w:type="dxa"/>
            <w:tcBorders>
              <w:top w:val="single" w:color="auto" w:sz="4" w:space="0"/>
              <w:left w:val="single" w:color="auto" w:sz="4" w:space="0"/>
              <w:bottom w:val="single" w:color="auto" w:sz="4" w:space="0"/>
              <w:right w:val="single" w:color="auto" w:sz="4" w:space="0"/>
            </w:tcBorders>
            <w:vAlign w:val="center"/>
          </w:tcPr>
          <w:p w14:paraId="3E2A4A5A">
            <w:pPr>
              <w:spacing w:line="360" w:lineRule="auto"/>
              <w:jc w:val="center"/>
              <w:rPr>
                <w:rFonts w:ascii="宋体" w:hAnsi="宋体" w:cs="宋体"/>
                <w:b/>
                <w:kern w:val="0"/>
                <w:szCs w:val="21"/>
              </w:rPr>
            </w:pPr>
            <w:r>
              <w:rPr>
                <w:rFonts w:hint="eastAsia" w:ascii="宋体" w:hAnsi="宋体" w:cs="宋体"/>
                <w:b/>
                <w:kern w:val="0"/>
                <w:szCs w:val="21"/>
              </w:rPr>
              <w:t>单位</w:t>
            </w:r>
          </w:p>
        </w:tc>
        <w:tc>
          <w:tcPr>
            <w:tcW w:w="2100" w:type="dxa"/>
            <w:tcBorders>
              <w:top w:val="single" w:color="auto" w:sz="4" w:space="0"/>
              <w:left w:val="single" w:color="auto" w:sz="4" w:space="0"/>
              <w:bottom w:val="single" w:color="auto" w:sz="4" w:space="0"/>
              <w:right w:val="single" w:color="auto" w:sz="4" w:space="0"/>
            </w:tcBorders>
            <w:vAlign w:val="center"/>
          </w:tcPr>
          <w:p w14:paraId="7BFB6E15">
            <w:pPr>
              <w:spacing w:line="360" w:lineRule="auto"/>
              <w:jc w:val="center"/>
              <w:rPr>
                <w:rFonts w:ascii="宋体" w:hAnsi="宋体" w:cs="宋体"/>
                <w:b/>
                <w:kern w:val="0"/>
                <w:szCs w:val="21"/>
              </w:rPr>
            </w:pPr>
            <w:r>
              <w:rPr>
                <w:rFonts w:hint="eastAsia" w:ascii="宋体" w:hAnsi="宋体" w:cs="宋体"/>
                <w:b/>
                <w:kern w:val="0"/>
                <w:szCs w:val="21"/>
              </w:rPr>
              <w:t>预算金额</w:t>
            </w:r>
          </w:p>
          <w:p w14:paraId="72AAEB87">
            <w:pPr>
              <w:spacing w:line="360" w:lineRule="auto"/>
              <w:jc w:val="center"/>
              <w:rPr>
                <w:rFonts w:ascii="宋体" w:hAnsi="宋体" w:cs="宋体"/>
                <w:b/>
                <w:kern w:val="0"/>
                <w:szCs w:val="21"/>
              </w:rPr>
            </w:pPr>
            <w:r>
              <w:rPr>
                <w:rFonts w:hint="eastAsia" w:ascii="宋体" w:hAnsi="宋体" w:cs="宋体"/>
                <w:b/>
                <w:szCs w:val="21"/>
              </w:rPr>
              <w:t>（人民币元）</w:t>
            </w:r>
          </w:p>
        </w:tc>
        <w:tc>
          <w:tcPr>
            <w:tcW w:w="1118" w:type="dxa"/>
            <w:tcBorders>
              <w:top w:val="single" w:color="auto" w:sz="4" w:space="0"/>
              <w:left w:val="single" w:color="auto" w:sz="4" w:space="0"/>
              <w:bottom w:val="single" w:color="auto" w:sz="4" w:space="0"/>
              <w:right w:val="single" w:color="auto" w:sz="4" w:space="0"/>
            </w:tcBorders>
            <w:vAlign w:val="center"/>
          </w:tcPr>
          <w:p w14:paraId="34B4ACBD">
            <w:pPr>
              <w:spacing w:line="360" w:lineRule="auto"/>
              <w:jc w:val="center"/>
              <w:rPr>
                <w:rFonts w:ascii="宋体" w:hAnsi="宋体" w:cs="宋体"/>
                <w:b/>
                <w:kern w:val="0"/>
                <w:szCs w:val="21"/>
              </w:rPr>
            </w:pPr>
            <w:r>
              <w:rPr>
                <w:rFonts w:hint="eastAsia" w:ascii="宋体" w:hAnsi="宋体" w:cs="宋体"/>
                <w:b/>
                <w:kern w:val="0"/>
                <w:szCs w:val="21"/>
              </w:rPr>
              <w:t>备注</w:t>
            </w:r>
          </w:p>
        </w:tc>
      </w:tr>
      <w:tr w14:paraId="186F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3" w:type="dxa"/>
            <w:tcBorders>
              <w:top w:val="single" w:color="auto" w:sz="4" w:space="0"/>
              <w:left w:val="single" w:color="auto" w:sz="4" w:space="0"/>
              <w:bottom w:val="single" w:color="auto" w:sz="4" w:space="0"/>
              <w:right w:val="single" w:color="auto" w:sz="4" w:space="0"/>
            </w:tcBorders>
            <w:vAlign w:val="center"/>
          </w:tcPr>
          <w:p w14:paraId="28B9CD12">
            <w:pPr>
              <w:spacing w:line="360" w:lineRule="auto"/>
              <w:jc w:val="center"/>
              <w:rPr>
                <w:rFonts w:ascii="宋体" w:hAnsi="宋体" w:cs="宋体"/>
                <w:kern w:val="0"/>
                <w:szCs w:val="21"/>
              </w:rPr>
            </w:pPr>
            <w:r>
              <w:rPr>
                <w:rFonts w:hint="eastAsia" w:ascii="宋体" w:hAnsi="宋体" w:cs="宋体"/>
                <w:kern w:val="0"/>
                <w:szCs w:val="21"/>
              </w:rPr>
              <w:t>1</w:t>
            </w:r>
          </w:p>
        </w:tc>
        <w:tc>
          <w:tcPr>
            <w:tcW w:w="3082" w:type="dxa"/>
            <w:tcBorders>
              <w:top w:val="single" w:color="auto" w:sz="4" w:space="0"/>
              <w:left w:val="single" w:color="auto" w:sz="4" w:space="0"/>
              <w:bottom w:val="single" w:color="auto" w:sz="4" w:space="0"/>
              <w:right w:val="single" w:color="auto" w:sz="4" w:space="0"/>
            </w:tcBorders>
            <w:vAlign w:val="center"/>
          </w:tcPr>
          <w:p w14:paraId="18333BAD">
            <w:pPr>
              <w:spacing w:line="360" w:lineRule="auto"/>
              <w:jc w:val="center"/>
              <w:rPr>
                <w:rFonts w:ascii="宋体" w:hAnsi="宋体" w:cs="宋体"/>
                <w:kern w:val="0"/>
                <w:szCs w:val="21"/>
              </w:rPr>
            </w:pPr>
            <w:r>
              <w:rPr>
                <w:rFonts w:hint="eastAsia" w:ascii="宋体" w:hAnsi="宋体" w:cs="宋体"/>
                <w:kern w:val="0"/>
                <w:szCs w:val="21"/>
              </w:rPr>
              <w:t>手持式化学探测器</w:t>
            </w:r>
          </w:p>
        </w:tc>
        <w:tc>
          <w:tcPr>
            <w:tcW w:w="1065" w:type="dxa"/>
            <w:tcBorders>
              <w:top w:val="single" w:color="auto" w:sz="4" w:space="0"/>
              <w:left w:val="single" w:color="auto" w:sz="4" w:space="0"/>
              <w:bottom w:val="single" w:color="auto" w:sz="4" w:space="0"/>
              <w:right w:val="single" w:color="auto" w:sz="4" w:space="0"/>
            </w:tcBorders>
            <w:vAlign w:val="center"/>
          </w:tcPr>
          <w:p w14:paraId="42387BEF">
            <w:pPr>
              <w:spacing w:line="360" w:lineRule="auto"/>
              <w:jc w:val="center"/>
              <w:rPr>
                <w:rFonts w:ascii="宋体" w:hAnsi="宋体" w:cs="宋体"/>
                <w:kern w:val="0"/>
                <w:szCs w:val="21"/>
              </w:rPr>
            </w:pPr>
            <w:r>
              <w:rPr>
                <w:rFonts w:hint="eastAsia" w:ascii="宋体" w:hAnsi="宋体" w:cs="宋体"/>
                <w:kern w:val="0"/>
                <w:szCs w:val="21"/>
              </w:rPr>
              <w:t>2</w:t>
            </w:r>
          </w:p>
        </w:tc>
        <w:tc>
          <w:tcPr>
            <w:tcW w:w="1065" w:type="dxa"/>
            <w:tcBorders>
              <w:top w:val="single" w:color="auto" w:sz="4" w:space="0"/>
              <w:left w:val="single" w:color="auto" w:sz="4" w:space="0"/>
              <w:bottom w:val="single" w:color="auto" w:sz="4" w:space="0"/>
              <w:right w:val="single" w:color="auto" w:sz="4" w:space="0"/>
            </w:tcBorders>
            <w:vAlign w:val="center"/>
          </w:tcPr>
          <w:p w14:paraId="76859E0D">
            <w:pPr>
              <w:spacing w:line="360" w:lineRule="auto"/>
              <w:jc w:val="center"/>
              <w:rPr>
                <w:rFonts w:ascii="宋体" w:hAnsi="宋体" w:cs="宋体"/>
                <w:kern w:val="0"/>
                <w:szCs w:val="21"/>
              </w:rPr>
            </w:pPr>
            <w:r>
              <w:rPr>
                <w:rFonts w:hint="eastAsia" w:ascii="宋体" w:hAnsi="宋体" w:cs="宋体"/>
                <w:kern w:val="0"/>
                <w:szCs w:val="21"/>
              </w:rPr>
              <w:t>套</w:t>
            </w:r>
          </w:p>
        </w:tc>
        <w:tc>
          <w:tcPr>
            <w:tcW w:w="2100" w:type="dxa"/>
            <w:tcBorders>
              <w:top w:val="single" w:color="auto" w:sz="4" w:space="0"/>
              <w:left w:val="single" w:color="auto" w:sz="4" w:space="0"/>
              <w:bottom w:val="single" w:color="auto" w:sz="4" w:space="0"/>
              <w:right w:val="single" w:color="auto" w:sz="4" w:space="0"/>
            </w:tcBorders>
            <w:vAlign w:val="center"/>
          </w:tcPr>
          <w:p w14:paraId="305CBCBD">
            <w:pPr>
              <w:jc w:val="center"/>
              <w:rPr>
                <w:rFonts w:ascii="宋体" w:hAnsi="宋体" w:cs="宋体"/>
                <w:kern w:val="0"/>
                <w:szCs w:val="21"/>
              </w:rPr>
            </w:pPr>
            <w:r>
              <w:rPr>
                <w:rFonts w:hint="eastAsia" w:ascii="宋体" w:hAnsi="宋体" w:cs="宋体"/>
                <w:bCs/>
                <w:kern w:val="0"/>
                <w:szCs w:val="21"/>
              </w:rPr>
              <w:t xml:space="preserve">414,800.00   </w:t>
            </w:r>
          </w:p>
        </w:tc>
        <w:tc>
          <w:tcPr>
            <w:tcW w:w="1118" w:type="dxa"/>
            <w:tcBorders>
              <w:top w:val="single" w:color="auto" w:sz="4" w:space="0"/>
              <w:left w:val="single" w:color="auto" w:sz="4" w:space="0"/>
              <w:bottom w:val="single" w:color="auto" w:sz="4" w:space="0"/>
              <w:right w:val="single" w:color="auto" w:sz="4" w:space="0"/>
            </w:tcBorders>
            <w:vAlign w:val="center"/>
          </w:tcPr>
          <w:p w14:paraId="08480981">
            <w:pPr>
              <w:spacing w:line="360" w:lineRule="auto"/>
              <w:jc w:val="center"/>
              <w:rPr>
                <w:rFonts w:ascii="宋体" w:hAnsi="宋体" w:cs="宋体"/>
                <w:kern w:val="0"/>
                <w:szCs w:val="21"/>
              </w:rPr>
            </w:pPr>
            <w:r>
              <w:rPr>
                <w:rFonts w:hint="eastAsia" w:ascii="宋体" w:hAnsi="宋体" w:cs="宋体"/>
                <w:kern w:val="0"/>
                <w:szCs w:val="21"/>
              </w:rPr>
              <w:t>拒绝进口</w:t>
            </w:r>
          </w:p>
        </w:tc>
      </w:tr>
    </w:tbl>
    <w:p w14:paraId="62D88C82">
      <w:pPr>
        <w:pStyle w:val="455"/>
        <w:adjustRightInd w:val="0"/>
        <w:snapToGrid w:val="0"/>
        <w:spacing w:beforeLines="50" w:beforeAutospacing="0" w:after="0" w:afterAutospacing="0" w:line="360" w:lineRule="auto"/>
        <w:ind w:firstLine="424" w:firstLineChars="202"/>
        <w:rPr>
          <w:rFonts w:ascii="宋体" w:hAnsi="宋体" w:eastAsia="宋体"/>
          <w:b/>
          <w:snapToGrid w:val="0"/>
          <w:color w:val="auto"/>
          <w:sz w:val="21"/>
          <w:szCs w:val="21"/>
        </w:rPr>
      </w:pPr>
      <w:r>
        <w:rPr>
          <w:rFonts w:hint="eastAsia" w:ascii="宋体" w:hAnsi="宋体" w:eastAsia="宋体" w:cs="Times New Roman"/>
          <w:color w:val="auto"/>
          <w:kern w:val="2"/>
          <w:sz w:val="21"/>
          <w:szCs w:val="21"/>
        </w:rPr>
        <w:t>注：★</w:t>
      </w:r>
      <w:r>
        <w:rPr>
          <w:rFonts w:hint="eastAsia" w:ascii="宋体" w:hAnsi="宋体" w:eastAsia="宋体" w:cs="Times New Roman"/>
          <w:b/>
          <w:color w:val="auto"/>
          <w:kern w:val="2"/>
          <w:sz w:val="21"/>
          <w:szCs w:val="21"/>
        </w:rPr>
        <w:t>货物清单中任意一项产品的投标报价超过其预算金额或最高限价的，将导致投标无效。</w:t>
      </w:r>
    </w:p>
    <w:p w14:paraId="71BE1B74">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rPr>
        <w:t>（1）如同时有两家或两家以上（均为制造商的合法代理商）通过资格审查及符合性审查的合格投标人</w:t>
      </w:r>
      <w:r>
        <w:rPr>
          <w:rFonts w:hint="eastAsia" w:ascii="宋体" w:hAnsi="宋体"/>
          <w:b/>
          <w:bCs/>
          <w:snapToGrid w:val="0"/>
          <w:kern w:val="0"/>
          <w:szCs w:val="21"/>
        </w:rPr>
        <w:t>所投产品为相同品牌的，按一家投标人计算</w:t>
      </w:r>
      <w:r>
        <w:rPr>
          <w:rFonts w:hint="eastAsia" w:ascii="宋体" w:hAnsi="宋体"/>
          <w:bCs/>
          <w:snapToGrid w:val="0"/>
          <w:kern w:val="0"/>
          <w:szCs w:val="21"/>
        </w:rPr>
        <w:t>。在此种情况下，评审后得分最高的</w:t>
      </w:r>
      <w:r>
        <w:rPr>
          <w:rFonts w:hint="eastAsia" w:asciiTheme="minorEastAsia" w:hAnsiTheme="minorEastAsia" w:eastAsiaTheme="minorEastAsia"/>
          <w:color w:val="333333"/>
        </w:rPr>
        <w:t>同品牌</w:t>
      </w:r>
      <w:r>
        <w:rPr>
          <w:rFonts w:hint="eastAsia" w:ascii="宋体" w:hAnsi="宋体"/>
          <w:bCs/>
          <w:snapToGrid w:val="0"/>
          <w:kern w:val="0"/>
          <w:szCs w:val="21"/>
        </w:rPr>
        <w:t>投标人获得中标人推荐资格；评审得分相同的由报价相对最低的获得中标人推荐资格；评审得分及报价均相同的由技术部分评分相对最高的获得中标人推荐资格；</w:t>
      </w:r>
      <w:r>
        <w:rPr>
          <w:rFonts w:hint="eastAsia"/>
          <w:snapToGrid w:val="0"/>
          <w:kern w:val="0"/>
        </w:rPr>
        <w:t>以上均相同的由评标委员会采取随机抽取方式确定</w:t>
      </w:r>
      <w:r>
        <w:rPr>
          <w:rFonts w:hint="eastAsia" w:ascii="宋体" w:hAnsi="宋体"/>
          <w:bCs/>
          <w:snapToGrid w:val="0"/>
          <w:kern w:val="0"/>
          <w:szCs w:val="21"/>
        </w:rPr>
        <w:t>，其他同品牌投标人不作为中标候选人。</w:t>
      </w:r>
    </w:p>
    <w:p w14:paraId="6557589E">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CA889D8">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113FA039">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6522BE6C">
      <w:pPr>
        <w:adjustRightInd w:val="0"/>
        <w:snapToGrid w:val="0"/>
        <w:spacing w:line="360" w:lineRule="auto"/>
        <w:ind w:firstLine="422" w:firstLineChars="201"/>
        <w:rPr>
          <w:rFonts w:ascii="宋体" w:hAnsi="宋体"/>
          <w:bCs/>
          <w:snapToGrid w:val="0"/>
          <w:kern w:val="0"/>
          <w:szCs w:val="21"/>
        </w:rPr>
      </w:pPr>
    </w:p>
    <w:p w14:paraId="331B46BB">
      <w:pPr>
        <w:spacing w:line="360" w:lineRule="auto"/>
        <w:rPr>
          <w:rFonts w:ascii="宋体" w:hAnsi="宋体"/>
          <w:b/>
          <w:bCs/>
          <w:snapToGrid w:val="0"/>
          <w:kern w:val="0"/>
          <w:sz w:val="24"/>
        </w:rPr>
      </w:pPr>
      <w:r>
        <w:rPr>
          <w:rFonts w:hint="eastAsia" w:ascii="宋体" w:hAnsi="宋体"/>
          <w:b/>
          <w:bCs/>
          <w:snapToGrid w:val="0"/>
          <w:kern w:val="0"/>
          <w:sz w:val="24"/>
        </w:rPr>
        <w:t>二、技术要求</w:t>
      </w:r>
    </w:p>
    <w:p w14:paraId="09EB1C3A">
      <w:pPr>
        <w:spacing w:line="360" w:lineRule="auto"/>
        <w:rPr>
          <w:rFonts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14CDD623">
      <w:pPr>
        <w:numPr>
          <w:ilvl w:val="0"/>
          <w:numId w:val="4"/>
        </w:numPr>
        <w:spacing w:line="360" w:lineRule="auto"/>
        <w:rPr>
          <w:rFonts w:ascii="宋体" w:hAnsi="宋体" w:cs="宋体"/>
          <w:szCs w:val="21"/>
        </w:rPr>
      </w:pPr>
      <w:r>
        <w:rPr>
          <w:rFonts w:hint="eastAsia" w:ascii="宋体" w:hAnsi="宋体" w:cs="宋体"/>
          <w:szCs w:val="21"/>
        </w:rPr>
        <w:t>技术参数中涉及的数值设置下限值或上限值要求的，投标响应内容存在不满足数值要求可能情形的均视为负偏离（例如：变焦：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0A802213">
      <w:pPr>
        <w:numPr>
          <w:ilvl w:val="0"/>
          <w:numId w:val="4"/>
        </w:numPr>
        <w:spacing w:line="360" w:lineRule="auto"/>
        <w:rPr>
          <w:rFonts w:ascii="宋体" w:hAnsi="宋体" w:cs="宋体"/>
          <w:szCs w:val="21"/>
        </w:rPr>
      </w:pPr>
      <w:r>
        <w:rPr>
          <w:rFonts w:hint="eastAsia" w:ascii="宋体" w:hAnsi="宋体" w:cs="宋体"/>
          <w:szCs w:val="21"/>
        </w:rPr>
        <w:t>涉及区间的技术参数，除特别注明以外，所投产品范围涵盖对应的区间即认定为满足该项技术要求。例：区间要求为5-20ML, 所投产品范围最小值≤5ML，范围最大值≥20ML，即为满足该项技术要求。</w:t>
      </w:r>
    </w:p>
    <w:p w14:paraId="548E8EE2">
      <w:pPr>
        <w:spacing w:line="360" w:lineRule="auto"/>
        <w:rPr>
          <w:b/>
          <w:bCs/>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p w14:paraId="77656E55">
      <w:pPr>
        <w:pStyle w:val="19"/>
      </w:pPr>
    </w:p>
    <w:tbl>
      <w:tblPr>
        <w:tblStyle w:val="51"/>
        <w:tblW w:w="963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07"/>
        <w:gridCol w:w="7508"/>
      </w:tblGrid>
      <w:tr w14:paraId="38FBF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blHeader/>
        </w:trPr>
        <w:tc>
          <w:tcPr>
            <w:tcW w:w="720" w:type="dxa"/>
            <w:tcBorders>
              <w:top w:val="single" w:color="auto" w:sz="4" w:space="0"/>
              <w:left w:val="single" w:color="auto" w:sz="4" w:space="0"/>
              <w:bottom w:val="single" w:color="auto" w:sz="4" w:space="0"/>
              <w:right w:val="single" w:color="auto" w:sz="4" w:space="0"/>
            </w:tcBorders>
            <w:noWrap/>
            <w:vAlign w:val="center"/>
          </w:tcPr>
          <w:p w14:paraId="27213D29">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407" w:type="dxa"/>
            <w:tcBorders>
              <w:top w:val="single" w:color="auto" w:sz="4" w:space="0"/>
              <w:left w:val="single" w:color="auto" w:sz="4" w:space="0"/>
              <w:bottom w:val="single" w:color="auto" w:sz="4" w:space="0"/>
              <w:right w:val="single" w:color="auto" w:sz="4" w:space="0"/>
            </w:tcBorders>
            <w:noWrap/>
            <w:vAlign w:val="center"/>
          </w:tcPr>
          <w:p w14:paraId="662AAF6A">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货物名称</w:t>
            </w:r>
          </w:p>
        </w:tc>
        <w:tc>
          <w:tcPr>
            <w:tcW w:w="7508" w:type="dxa"/>
            <w:tcBorders>
              <w:top w:val="single" w:color="auto" w:sz="4" w:space="0"/>
              <w:left w:val="single" w:color="auto" w:sz="4" w:space="0"/>
              <w:bottom w:val="single" w:color="auto" w:sz="4" w:space="0"/>
              <w:right w:val="single" w:color="auto" w:sz="4" w:space="0"/>
            </w:tcBorders>
            <w:noWrap/>
            <w:vAlign w:val="center"/>
          </w:tcPr>
          <w:p w14:paraId="6F452C68">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技术参数要求</w:t>
            </w:r>
          </w:p>
        </w:tc>
      </w:tr>
      <w:tr w14:paraId="4B88F5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720" w:type="dxa"/>
            <w:vMerge w:val="restart"/>
            <w:tcBorders>
              <w:top w:val="single" w:color="auto" w:sz="4" w:space="0"/>
              <w:left w:val="single" w:color="auto" w:sz="4" w:space="0"/>
              <w:right w:val="single" w:color="auto" w:sz="4" w:space="0"/>
            </w:tcBorders>
            <w:noWrap/>
            <w:vAlign w:val="center"/>
          </w:tcPr>
          <w:p w14:paraId="74FAB7BE">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407" w:type="dxa"/>
            <w:vMerge w:val="restart"/>
            <w:tcBorders>
              <w:top w:val="single" w:color="auto" w:sz="4" w:space="0"/>
              <w:left w:val="single" w:color="auto" w:sz="4" w:space="0"/>
              <w:right w:val="single" w:color="auto" w:sz="4" w:space="0"/>
            </w:tcBorders>
            <w:noWrap/>
            <w:vAlign w:val="center"/>
          </w:tcPr>
          <w:p w14:paraId="5C452606">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手持式化学探测器</w:t>
            </w:r>
          </w:p>
        </w:tc>
        <w:tc>
          <w:tcPr>
            <w:tcW w:w="7508" w:type="dxa"/>
            <w:tcBorders>
              <w:top w:val="single" w:color="auto" w:sz="4" w:space="0"/>
              <w:left w:val="single" w:color="auto" w:sz="4" w:space="0"/>
              <w:bottom w:val="single" w:color="auto" w:sz="4" w:space="0"/>
              <w:right w:val="single" w:color="auto" w:sz="4" w:space="0"/>
            </w:tcBorders>
            <w:noWrap/>
            <w:vAlign w:val="center"/>
          </w:tcPr>
          <w:p w14:paraId="15165B2F">
            <w:pPr>
              <w:pStyle w:val="1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检测项目：可燃/有毒气体（包括但不限于）：CWA（化学战剂）、TIC（工业毒气）、VOCs；覆盖检测物质≥100种，包含但不限于：沙林（GB）、梭曼（GD）、维埃克斯（VX）、甲氟膦酸环己酯（GF）、芥子气（HD）、光气（CG）等化学毒剂、DMMP甲基膦酸二甲酯毒剂前体、氯化氢、氨气、硫化氢、氯气、二氧化硫、一氧化氮、二硫化碳等工业毒气</w:t>
            </w:r>
          </w:p>
          <w:p w14:paraId="1EC3DF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【提供产品彩页或产品说明书关键页或厂家参数确认函（相关参数在证明材料中标示）并加盖投标人公章】；</w:t>
            </w:r>
          </w:p>
        </w:tc>
      </w:tr>
      <w:tr w14:paraId="77D08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24FB33E2">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4B274EC4">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6D7691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采样间隔</w:t>
            </w:r>
            <w:r>
              <w:rPr>
                <w:rFonts w:hint="eastAsia" w:ascii="宋体" w:hAnsi="宋体" w:eastAsia="宋体" w:cs="宋体"/>
                <w:sz w:val="21"/>
                <w:szCs w:val="21"/>
              </w:rPr>
              <w:t>时间：≤30秒；</w:t>
            </w:r>
          </w:p>
        </w:tc>
      </w:tr>
      <w:tr w14:paraId="5B6DBB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72C1C01C">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2BDC809E">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64D67AD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3、检测方法：光谱分析、电化学分析等；</w:t>
            </w:r>
          </w:p>
        </w:tc>
      </w:tr>
      <w:tr w14:paraId="689679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14FB834D">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7B3FF60F">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399E950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4、工作温度：0（含）</w:t>
            </w:r>
            <w:r>
              <w:rPr>
                <w:rFonts w:hint="eastAsia" w:ascii="宋体" w:hAnsi="宋体" w:eastAsia="宋体" w:cs="宋体"/>
                <w:bCs/>
                <w:sz w:val="21"/>
                <w:szCs w:val="21"/>
                <w:u w:val="single"/>
              </w:rPr>
              <w:t>~</w:t>
            </w:r>
            <w:r>
              <w:rPr>
                <w:rFonts w:hint="eastAsia" w:ascii="宋体" w:hAnsi="宋体" w:eastAsia="宋体" w:cs="宋体"/>
                <w:sz w:val="21"/>
                <w:szCs w:val="21"/>
              </w:rPr>
              <w:t>50℃（含）；</w:t>
            </w:r>
          </w:p>
        </w:tc>
      </w:tr>
      <w:tr w14:paraId="35BFE5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52DB57BA">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2B36748C">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7430B7D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5、设备应用于有毒工业化学品（TICs）和化学战剂（CWA）的现场检测、报警、分类、辅助决策，以及持续监测，应具备无线、有线数据传输功能；</w:t>
            </w:r>
          </w:p>
        </w:tc>
      </w:tr>
      <w:tr w14:paraId="560D9A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5" w:hRule="atLeast"/>
        </w:trPr>
        <w:tc>
          <w:tcPr>
            <w:tcW w:w="720" w:type="dxa"/>
            <w:vMerge w:val="continue"/>
            <w:tcBorders>
              <w:left w:val="single" w:color="auto" w:sz="4" w:space="0"/>
              <w:right w:val="single" w:color="auto" w:sz="4" w:space="0"/>
            </w:tcBorders>
            <w:noWrap/>
            <w:vAlign w:val="center"/>
          </w:tcPr>
          <w:p w14:paraId="41961B59">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754BA3E1">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10A143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6、误判率低：内置的复合阵列传感器模块并联工作，可以互相补充，通过复合算法得出检测结果，设备对目标物质检测无漏检，误报率≤1%，抗干扰能力强，满足现场实战使用要求【提供产品彩页或产品说明书关键页或厂家参数确认函（相关参数在证明材料中标示）并加盖投标人公章】；</w:t>
            </w:r>
          </w:p>
        </w:tc>
      </w:tr>
      <w:tr w14:paraId="3AF880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492E1F95">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4BD84800">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39D8553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、进样方式：连续性进样，内置自动进样泵；</w:t>
            </w:r>
          </w:p>
        </w:tc>
      </w:tr>
      <w:tr w14:paraId="0FD645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3C01BC9D">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51FB29EA">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0CD9EB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化学毒剂探测下限应满足以下要求：沙林（GB）：在检出率不低于90%的前提下≤0.05mg/m³、梭曼（GD）：在检出率不低于90%的前提下≤0.05mg/m³、维埃克斯（VX）：在检出率不低于90%的前提下≤0.05mg/m³、甲氟膦酸环己酯（GF）：在检出率不低于90%的前提下≤0.05mg/m³、芥子气（HD）：在检出率不低于90%的前提下≤0.1mg/m³、光气（CG）：在检出率不低于90%的前提下≤0.5mg/m³；以上均为探测下限浓度</w:t>
            </w:r>
          </w:p>
        </w:tc>
      </w:tr>
      <w:tr w14:paraId="00BFDF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7528D25E">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76A43D4E">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noWrap/>
            <w:vAlign w:val="center"/>
          </w:tcPr>
          <w:p w14:paraId="3C0FAF89">
            <w:pPr>
              <w:pStyle w:val="1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highlight w:val="none"/>
              </w:rPr>
              <w:t>▲</w:t>
            </w:r>
            <w:r>
              <w:rPr>
                <w:rFonts w:hint="eastAsia" w:ascii="宋体" w:hAnsi="宋体" w:cs="宋体"/>
                <w:sz w:val="21"/>
                <w:szCs w:val="21"/>
                <w:lang w:val="en-US" w:eastAsia="zh-CN"/>
              </w:rPr>
              <w:t>9</w:t>
            </w:r>
            <w:r>
              <w:rPr>
                <w:rFonts w:hint="eastAsia" w:ascii="宋体" w:hAnsi="宋体" w:eastAsia="宋体" w:cs="宋体"/>
                <w:sz w:val="21"/>
                <w:szCs w:val="21"/>
              </w:rPr>
              <w:t>、工业毒气探测下限应满足以下要求：氯化氢：在检出率不低于100%的前提下≤5 ppm、氨气：在检出率不低于100%的前提下≤5 ppm、硫化氢：在检出率不低于100%的前提下≤5 ppm、氯气：在检出率不低于100%的前提下≤5 ppm、二氧化硫：在检出率不低于100%的前提下≤5 ppm、一氧化氮：在检出率不低于100%的前提下≤5 ppm、二硫化碳：在检出率不低于100%的前提下≤15 ppm；以上均为探测下限浓度</w:t>
            </w:r>
          </w:p>
        </w:tc>
      </w:tr>
      <w:tr w14:paraId="29BEBE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vMerge w:val="continue"/>
            <w:tcBorders>
              <w:left w:val="single" w:color="auto" w:sz="4" w:space="0"/>
              <w:right w:val="single" w:color="auto" w:sz="4" w:space="0"/>
            </w:tcBorders>
            <w:noWrap/>
            <w:vAlign w:val="center"/>
          </w:tcPr>
          <w:p w14:paraId="48B30C01">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vMerge w:val="continue"/>
            <w:tcBorders>
              <w:left w:val="single" w:color="auto" w:sz="4" w:space="0"/>
              <w:right w:val="single" w:color="auto" w:sz="4" w:space="0"/>
            </w:tcBorders>
            <w:noWrap/>
            <w:vAlign w:val="center"/>
          </w:tcPr>
          <w:p w14:paraId="55C46666">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ED5027">
            <w:pPr>
              <w:pStyle w:val="1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0</w:t>
            </w:r>
            <w:r>
              <w:rPr>
                <w:rFonts w:hint="eastAsia" w:ascii="宋体" w:hAnsi="宋体" w:eastAsia="宋体" w:cs="宋体"/>
                <w:color w:val="000000" w:themeColor="text1"/>
                <w:sz w:val="21"/>
                <w:szCs w:val="21"/>
                <w14:textFill>
                  <w14:solidFill>
                    <w14:schemeClr w14:val="tx1"/>
                  </w14:solidFill>
                </w14:textFill>
              </w:rPr>
              <w:t>、分析时间≤3s【</w:t>
            </w:r>
            <w:r>
              <w:rPr>
                <w:rFonts w:hint="eastAsia" w:ascii="宋体" w:hAnsi="宋体" w:eastAsia="宋体" w:cs="宋体"/>
                <w:sz w:val="21"/>
                <w:szCs w:val="21"/>
              </w:rPr>
              <w:t>提供产品彩页或产品说明书关键页或厂家参数确认函（相关参数在证明材料中标示）并加盖投标人公章】；</w:t>
            </w:r>
          </w:p>
        </w:tc>
      </w:tr>
      <w:tr w14:paraId="317544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720" w:type="dxa"/>
            <w:tcBorders>
              <w:left w:val="single" w:color="auto" w:sz="4" w:space="0"/>
              <w:right w:val="single" w:color="auto" w:sz="4" w:space="0"/>
            </w:tcBorders>
            <w:noWrap/>
            <w:vAlign w:val="center"/>
          </w:tcPr>
          <w:p w14:paraId="116CB912">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1407" w:type="dxa"/>
            <w:tcBorders>
              <w:left w:val="single" w:color="auto" w:sz="4" w:space="0"/>
              <w:right w:val="single" w:color="auto" w:sz="4" w:space="0"/>
            </w:tcBorders>
            <w:noWrap/>
            <w:vAlign w:val="center"/>
          </w:tcPr>
          <w:p w14:paraId="42B5793E">
            <w:pPr>
              <w:pStyle w:val="50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p>
        </w:tc>
        <w:tc>
          <w:tcPr>
            <w:tcW w:w="7508" w:type="dxa"/>
            <w:tcBorders>
              <w:top w:val="single" w:color="auto" w:sz="4" w:space="0"/>
              <w:left w:val="single" w:color="auto" w:sz="4" w:space="0"/>
              <w:right w:val="single" w:color="auto" w:sz="4" w:space="0"/>
            </w:tcBorders>
            <w:shd w:val="clear" w:color="auto" w:fill="auto"/>
            <w:noWrap/>
            <w:vAlign w:val="center"/>
          </w:tcPr>
          <w:p w14:paraId="1B6073C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1</w:t>
            </w:r>
            <w:r>
              <w:rPr>
                <w:rFonts w:hint="eastAsia" w:ascii="宋体" w:hAnsi="宋体" w:eastAsia="宋体" w:cs="宋体"/>
                <w:sz w:val="21"/>
                <w:szCs w:val="21"/>
              </w:rPr>
              <w:t>、单套配置要求：</w:t>
            </w:r>
          </w:p>
          <w:p w14:paraId="35F8397C">
            <w:pPr>
              <w:pStyle w:val="1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主机一台，数据线一根，充电器一个，便携箱一个。</w:t>
            </w:r>
          </w:p>
        </w:tc>
      </w:tr>
    </w:tbl>
    <w:p w14:paraId="65C9E3C8">
      <w:pPr>
        <w:pStyle w:val="7"/>
        <w:ind w:firstLine="482"/>
        <w:rPr>
          <w:rFonts w:ascii="宋体" w:hAnsi="宋体"/>
          <w:b/>
          <w:bCs/>
          <w:snapToGrid w:val="0"/>
          <w:kern w:val="0"/>
          <w:sz w:val="24"/>
        </w:rPr>
      </w:pPr>
    </w:p>
    <w:p w14:paraId="232E2BDA">
      <w:pPr>
        <w:pStyle w:val="7"/>
        <w:ind w:firstLine="482"/>
        <w:rPr>
          <w:rFonts w:ascii="宋体" w:hAnsi="宋体"/>
          <w:b/>
          <w:bCs/>
          <w:snapToGrid w:val="0"/>
          <w:kern w:val="0"/>
          <w:sz w:val="24"/>
        </w:rPr>
      </w:pPr>
    </w:p>
    <w:p w14:paraId="3B72368F">
      <w:pPr>
        <w:numPr>
          <w:ilvl w:val="0"/>
          <w:numId w:val="5"/>
        </w:numPr>
        <w:spacing w:line="360" w:lineRule="auto"/>
        <w:rPr>
          <w:rFonts w:asciiTheme="minorEastAsia" w:hAnsiTheme="minorEastAsia" w:eastAsiaTheme="minorEastAsia"/>
          <w:b/>
          <w:bCs/>
          <w:snapToGrid w:val="0"/>
          <w:kern w:val="0"/>
          <w:sz w:val="24"/>
        </w:rPr>
      </w:pPr>
      <w:r>
        <w:rPr>
          <w:rFonts w:hint="eastAsia" w:asciiTheme="minorEastAsia" w:hAnsiTheme="minorEastAsia" w:eastAsiaTheme="minorEastAsia"/>
          <w:b/>
          <w:bCs/>
          <w:snapToGrid w:val="0"/>
          <w:kern w:val="0"/>
          <w:sz w:val="24"/>
        </w:rPr>
        <w:t>商务要求</w:t>
      </w:r>
    </w:p>
    <w:p w14:paraId="171A2C48">
      <w:pPr>
        <w:adjustRightInd w:val="0"/>
        <w:snapToGrid w:val="0"/>
        <w:spacing w:line="560" w:lineRule="exact"/>
        <w:ind w:firstLine="482" w:firstLineChars="200"/>
        <w:jc w:val="left"/>
        <w:rPr>
          <w:rFonts w:asciiTheme="minorEastAsia" w:hAnsiTheme="minorEastAsia" w:eastAsiaTheme="minorEastAsia"/>
          <w:b/>
          <w:bCs/>
          <w:snapToGrid w:val="0"/>
          <w:kern w:val="0"/>
          <w:sz w:val="24"/>
        </w:rPr>
      </w:pPr>
      <w:r>
        <w:rPr>
          <w:rFonts w:hint="eastAsia" w:asciiTheme="minorEastAsia" w:hAnsiTheme="minorEastAsia" w:eastAsiaTheme="minorEastAsia" w:cstheme="minorEastAsia"/>
          <w:b/>
          <w:sz w:val="24"/>
        </w:rPr>
        <w:t>说明：</w:t>
      </w:r>
      <w:r>
        <w:rPr>
          <w:rFonts w:hint="eastAsia" w:asciiTheme="minorEastAsia" w:hAnsiTheme="minorEastAsia" w:eastAsiaTheme="minorEastAsia" w:cstheme="minorEastAsia"/>
          <w:bCs/>
          <w:sz w:val="24"/>
        </w:rPr>
        <w:t>带“</w:t>
      </w:r>
      <w:r>
        <w:rPr>
          <w:rFonts w:hint="eastAsia" w:asciiTheme="minorEastAsia" w:hAnsiTheme="minorEastAsia" w:eastAsiaTheme="minorEastAsia" w:cstheme="minorEastAsia"/>
          <w:bCs/>
          <w:color w:val="FF0000"/>
          <w:sz w:val="24"/>
        </w:rPr>
        <w:t>★</w:t>
      </w:r>
      <w:r>
        <w:rPr>
          <w:rFonts w:hint="eastAsia" w:asciiTheme="minorEastAsia" w:hAnsiTheme="minorEastAsia" w:eastAsiaTheme="minorEastAsia" w:cstheme="minorEastAsia"/>
          <w:bCs/>
          <w:sz w:val="24"/>
        </w:rPr>
        <w:t>”指标项为实质性条款，如出现负偏离，将被视为未实质性满足招标文件要求作投标无效处理。</w:t>
      </w:r>
    </w:p>
    <w:p w14:paraId="1434939C">
      <w:pPr>
        <w:pStyle w:val="41"/>
        <w:numPr>
          <w:ilvl w:val="255"/>
          <w:numId w:val="0"/>
        </w:numPr>
        <w:spacing w:line="360" w:lineRule="auto"/>
        <w:ind w:firstLine="420" w:firstLineChars="200"/>
        <w:jc w:val="left"/>
        <w:rPr>
          <w:rFonts w:ascii="宋体" w:hAnsi="宋体" w:cs="宋体"/>
        </w:rPr>
      </w:pPr>
      <w:r>
        <w:rPr>
          <w:rFonts w:hint="eastAsia" w:ascii="宋体" w:hAnsi="宋体" w:cs="宋体"/>
        </w:rPr>
        <w:t>★（一）签订合同日期：自中标(成交)通知书发出之日起30日内。</w:t>
      </w:r>
    </w:p>
    <w:p w14:paraId="4698E911">
      <w:pPr>
        <w:pStyle w:val="41"/>
        <w:numPr>
          <w:ilvl w:val="255"/>
          <w:numId w:val="0"/>
        </w:numPr>
        <w:spacing w:line="360" w:lineRule="auto"/>
        <w:ind w:firstLine="420" w:firstLineChars="200"/>
        <w:jc w:val="left"/>
        <w:rPr>
          <w:rFonts w:ascii="宋体" w:hAnsi="宋体" w:cs="宋体"/>
        </w:rPr>
      </w:pPr>
      <w:r>
        <w:rPr>
          <w:rFonts w:hint="eastAsia" w:ascii="宋体" w:hAnsi="宋体" w:cs="宋体"/>
        </w:rPr>
        <w:t>★（二）合同履行期限（交货期限）：在合同生效之日起50个日历日内将上述货物全部调试完毕并交付使用。</w:t>
      </w:r>
    </w:p>
    <w:p w14:paraId="496DB26C">
      <w:pPr>
        <w:pStyle w:val="41"/>
        <w:numPr>
          <w:ilvl w:val="255"/>
          <w:numId w:val="0"/>
        </w:numPr>
        <w:spacing w:line="360" w:lineRule="auto"/>
        <w:ind w:firstLine="420" w:firstLineChars="200"/>
        <w:jc w:val="left"/>
        <w:rPr>
          <w:rFonts w:ascii="宋体" w:hAnsi="宋体" w:cs="宋体"/>
        </w:rPr>
      </w:pPr>
      <w:r>
        <w:rPr>
          <w:rFonts w:hint="eastAsia" w:ascii="宋体" w:hAnsi="宋体" w:cs="宋体"/>
        </w:rPr>
        <w:t>★（三）交货地点：深圳市福田区福田南路22号皇岗海关。</w:t>
      </w:r>
    </w:p>
    <w:p w14:paraId="70F3F8C6">
      <w:pPr>
        <w:pStyle w:val="41"/>
        <w:numPr>
          <w:ilvl w:val="255"/>
          <w:numId w:val="0"/>
        </w:numPr>
        <w:spacing w:line="360" w:lineRule="auto"/>
        <w:ind w:firstLine="420" w:firstLineChars="200"/>
        <w:jc w:val="left"/>
        <w:rPr>
          <w:rFonts w:ascii="宋体" w:hAnsi="宋体" w:cs="宋体"/>
        </w:rPr>
      </w:pPr>
      <w:r>
        <w:rPr>
          <w:rFonts w:hint="eastAsia" w:ascii="宋体" w:hAnsi="宋体" w:cs="宋体"/>
        </w:rPr>
        <w:t>★（四）质保期：5年（自交货并验收合格之日起计，不额外收费），质量保证期内提供24小时运维服务保障。</w:t>
      </w:r>
    </w:p>
    <w:p w14:paraId="571C72EA">
      <w:pPr>
        <w:pStyle w:val="41"/>
        <w:numPr>
          <w:ilvl w:val="255"/>
          <w:numId w:val="0"/>
        </w:numPr>
        <w:spacing w:line="360" w:lineRule="auto"/>
        <w:ind w:firstLine="420" w:firstLineChars="200"/>
        <w:jc w:val="left"/>
        <w:rPr>
          <w:rFonts w:ascii="宋体" w:hAnsi="宋体" w:cs="宋体"/>
        </w:rPr>
      </w:pPr>
      <w:r>
        <w:rPr>
          <w:rFonts w:hint="eastAsia" w:ascii="宋体" w:hAnsi="宋体" w:cs="宋体"/>
        </w:rPr>
        <w:t>（五）售后服务要求：</w:t>
      </w:r>
    </w:p>
    <w:p w14:paraId="24E5C19D">
      <w:pPr>
        <w:pStyle w:val="41"/>
        <w:numPr>
          <w:ilvl w:val="255"/>
          <w:numId w:val="0"/>
        </w:numPr>
        <w:spacing w:line="360" w:lineRule="auto"/>
        <w:ind w:firstLine="420" w:firstLineChars="200"/>
        <w:jc w:val="left"/>
        <w:rPr>
          <w:rFonts w:ascii="宋体" w:hAnsi="宋体" w:cs="宋体"/>
        </w:rPr>
      </w:pPr>
      <w:r>
        <w:rPr>
          <w:rFonts w:hint="eastAsia" w:ascii="宋体" w:hAnsi="宋体" w:cs="宋体"/>
        </w:rPr>
        <w:t>1.中标方应联合产品制造商提供投标产品的所有软件版本升级和技术支持服务，主动配合海关对设备的管理，提升客户使用体验。相关费用包含在投标总价中，不额外收费。</w:t>
      </w:r>
    </w:p>
    <w:p w14:paraId="14036FA9">
      <w:pPr>
        <w:pStyle w:val="41"/>
        <w:numPr>
          <w:ilvl w:val="255"/>
          <w:numId w:val="0"/>
        </w:numPr>
        <w:spacing w:line="360" w:lineRule="auto"/>
        <w:ind w:firstLine="420" w:firstLineChars="200"/>
        <w:jc w:val="left"/>
        <w:rPr>
          <w:rFonts w:ascii="宋体" w:hAnsi="宋体" w:cs="宋体"/>
        </w:rPr>
      </w:pPr>
      <w:r>
        <w:rPr>
          <w:rFonts w:hint="eastAsia" w:ascii="宋体" w:hAnsi="宋体" w:cs="宋体"/>
        </w:rPr>
        <w:t>2.中标方及产品制造商有责任提供以下形式的技术服务：</w:t>
      </w:r>
    </w:p>
    <w:p w14:paraId="44E0AABA">
      <w:pPr>
        <w:pStyle w:val="41"/>
        <w:numPr>
          <w:ilvl w:val="255"/>
          <w:numId w:val="0"/>
        </w:numPr>
        <w:spacing w:line="360" w:lineRule="auto"/>
        <w:ind w:firstLine="420" w:firstLineChars="200"/>
        <w:jc w:val="left"/>
        <w:rPr>
          <w:rFonts w:ascii="宋体" w:hAnsi="宋体" w:cs="宋体"/>
        </w:rPr>
      </w:pPr>
      <w:r>
        <w:rPr>
          <w:rFonts w:hint="eastAsia" w:ascii="宋体" w:hAnsi="宋体" w:cs="宋体"/>
        </w:rPr>
        <w:t>①电话咨询：提供咨询电话技术支持服务，解答用户在使用中遇到的问题，及时提出解决问题的建议和操作方法。</w:t>
      </w:r>
    </w:p>
    <w:p w14:paraId="24FA1B91">
      <w:pPr>
        <w:pStyle w:val="41"/>
        <w:numPr>
          <w:ilvl w:val="255"/>
          <w:numId w:val="0"/>
        </w:numPr>
        <w:spacing w:line="360" w:lineRule="auto"/>
        <w:ind w:firstLine="420" w:firstLineChars="200"/>
        <w:jc w:val="left"/>
        <w:rPr>
          <w:rFonts w:ascii="宋体" w:hAnsi="宋体" w:cs="宋体"/>
        </w:rPr>
      </w:pPr>
      <w:r>
        <w:rPr>
          <w:rFonts w:hint="eastAsia" w:ascii="宋体" w:hAnsi="宋体" w:cs="宋体"/>
        </w:rPr>
        <w:t>②现场响应：具有7*24小时值班售后，自收到用户的服务请求起8小时内，如中标方或产品制造商技术支持人员不能解决故障，中标方或产品制造商应指派技术人员赶赴现场进行故障处理。质保期内凡因产品质量问题引起的不能正常使用的，一般情况不超过24小时排除故障，如需到现场维修时不超过72小时。</w:t>
      </w:r>
    </w:p>
    <w:p w14:paraId="11A8315E">
      <w:pPr>
        <w:pStyle w:val="41"/>
        <w:numPr>
          <w:ilvl w:val="255"/>
          <w:numId w:val="0"/>
        </w:numPr>
        <w:spacing w:line="360" w:lineRule="auto"/>
        <w:ind w:firstLine="420" w:firstLineChars="200"/>
        <w:jc w:val="left"/>
        <w:rPr>
          <w:rFonts w:ascii="宋体" w:hAnsi="宋体" w:cs="宋体"/>
        </w:rPr>
      </w:pPr>
      <w:r>
        <w:rPr>
          <w:rFonts w:hint="eastAsia" w:ascii="宋体" w:hAnsi="宋体" w:cs="宋体"/>
        </w:rPr>
        <w:t>③相关费用包含在投标总价中，不额外收费。</w:t>
      </w:r>
    </w:p>
    <w:p w14:paraId="69041C84">
      <w:pPr>
        <w:pStyle w:val="41"/>
        <w:numPr>
          <w:ilvl w:val="255"/>
          <w:numId w:val="0"/>
        </w:numPr>
        <w:spacing w:line="360" w:lineRule="auto"/>
        <w:ind w:firstLine="420" w:firstLineChars="200"/>
        <w:jc w:val="left"/>
        <w:rPr>
          <w:rFonts w:ascii="宋体" w:hAnsi="宋体" w:cs="宋体"/>
        </w:rPr>
      </w:pPr>
      <w:r>
        <w:rPr>
          <w:rFonts w:hint="eastAsia" w:ascii="宋体" w:hAnsi="宋体" w:cs="宋体"/>
        </w:rPr>
        <w:t>3.对设备进行维修时，中标方应当对其中存储的信息有保密义务，且应提供本项目包含的所有存储介质不返还及硬盘免回收服务。</w:t>
      </w:r>
    </w:p>
    <w:p w14:paraId="2E465CCC">
      <w:pPr>
        <w:pStyle w:val="41"/>
        <w:numPr>
          <w:ilvl w:val="255"/>
          <w:numId w:val="0"/>
        </w:numPr>
        <w:spacing w:line="360" w:lineRule="auto"/>
        <w:ind w:firstLine="420" w:firstLineChars="200"/>
        <w:jc w:val="left"/>
        <w:rPr>
          <w:rFonts w:ascii="宋体" w:hAnsi="宋体" w:cs="宋体"/>
        </w:rPr>
      </w:pPr>
      <w:r>
        <w:rPr>
          <w:rFonts w:hint="eastAsia" w:ascii="宋体" w:hAnsi="宋体" w:cs="宋体"/>
        </w:rPr>
        <w:t>★（六）付款要求</w:t>
      </w:r>
    </w:p>
    <w:p w14:paraId="60CC3B78">
      <w:pPr>
        <w:pStyle w:val="41"/>
        <w:numPr>
          <w:ilvl w:val="255"/>
          <w:numId w:val="0"/>
        </w:numPr>
        <w:spacing w:line="360" w:lineRule="auto"/>
        <w:ind w:firstLine="420" w:firstLineChars="200"/>
        <w:jc w:val="left"/>
        <w:rPr>
          <w:rFonts w:ascii="宋体" w:hAnsi="宋体" w:cs="宋体"/>
        </w:rPr>
      </w:pPr>
      <w:r>
        <w:rPr>
          <w:rFonts w:hint="eastAsia" w:ascii="宋体" w:hAnsi="宋体" w:cs="宋体"/>
        </w:rPr>
        <w:t>1.设备全部到货、调试，并经采购人（用户）全部验收合格后，中标人向采购人提交下列单据之日起10个工作日内，采购人支付合同总价款的100%。</w:t>
      </w:r>
    </w:p>
    <w:p w14:paraId="2CA7DD01">
      <w:pPr>
        <w:pStyle w:val="41"/>
        <w:numPr>
          <w:ilvl w:val="255"/>
          <w:numId w:val="0"/>
        </w:numPr>
        <w:spacing w:line="360" w:lineRule="auto"/>
        <w:ind w:firstLine="420" w:firstLineChars="200"/>
        <w:jc w:val="left"/>
        <w:rPr>
          <w:rFonts w:ascii="宋体" w:hAnsi="宋体" w:cs="宋体"/>
        </w:rPr>
      </w:pPr>
      <w:r>
        <w:rPr>
          <w:rFonts w:hint="eastAsia" w:ascii="宋体" w:hAnsi="宋体" w:cs="宋体"/>
        </w:rPr>
        <w:t>2.中标人提交单据：合同（正文部分复印件）、中标通知书（或成交通知书复印件）、发票（原件）、验收表（复印件）。</w:t>
      </w:r>
    </w:p>
    <w:p w14:paraId="20FA8632">
      <w:pPr>
        <w:pStyle w:val="41"/>
        <w:numPr>
          <w:ilvl w:val="255"/>
          <w:numId w:val="0"/>
        </w:numPr>
        <w:spacing w:line="360" w:lineRule="auto"/>
        <w:ind w:firstLine="420" w:firstLineChars="200"/>
        <w:jc w:val="left"/>
        <w:rPr>
          <w:rFonts w:ascii="宋体" w:hAnsi="宋体" w:cs="宋体"/>
        </w:rPr>
      </w:pPr>
      <w:r>
        <w:rPr>
          <w:rFonts w:hint="eastAsia" w:ascii="宋体" w:hAnsi="宋体" w:cs="宋体"/>
        </w:rPr>
        <w:t>3.因财政集中支付延误时间不计算在内。中标人提交付款单据延迟、缺失及账户信息错误的，采购人有权相应顺延付款期限，且采购人不承担延误付款责任。</w:t>
      </w:r>
    </w:p>
    <w:p w14:paraId="003E8F7C">
      <w:pPr>
        <w:pStyle w:val="41"/>
        <w:numPr>
          <w:ilvl w:val="255"/>
          <w:numId w:val="0"/>
        </w:numPr>
        <w:spacing w:line="360" w:lineRule="auto"/>
        <w:ind w:firstLine="420" w:firstLineChars="200"/>
        <w:jc w:val="left"/>
        <w:rPr>
          <w:rFonts w:ascii="宋体" w:hAnsi="宋体" w:cs="宋体"/>
        </w:rPr>
      </w:pPr>
      <w:r>
        <w:rPr>
          <w:rFonts w:hint="eastAsia" w:ascii="宋体" w:hAnsi="宋体" w:cs="宋体"/>
        </w:rPr>
        <w:t>★（七）报价要求</w:t>
      </w:r>
    </w:p>
    <w:p w14:paraId="3743BF95">
      <w:pPr>
        <w:pStyle w:val="41"/>
        <w:numPr>
          <w:ilvl w:val="255"/>
          <w:numId w:val="0"/>
        </w:numPr>
        <w:spacing w:line="360" w:lineRule="auto"/>
        <w:ind w:firstLine="420" w:firstLineChars="200"/>
        <w:jc w:val="left"/>
        <w:rPr>
          <w:rFonts w:ascii="宋体" w:hAnsi="宋体" w:cs="宋体"/>
        </w:rPr>
      </w:pPr>
      <w:r>
        <w:rPr>
          <w:rFonts w:hint="eastAsia" w:ascii="宋体" w:hAnsi="宋体" w:cs="宋体"/>
        </w:rPr>
        <w:t>1.本次项目的控制金额为人民币41.</w:t>
      </w:r>
      <w:r>
        <w:rPr>
          <w:rFonts w:hint="eastAsia" w:ascii="宋体" w:hAnsi="宋体" w:cs="宋体"/>
          <w:lang w:val="en-US" w:eastAsia="zh-CN"/>
        </w:rPr>
        <w:t>4</w:t>
      </w:r>
      <w:r>
        <w:rPr>
          <w:rFonts w:hint="eastAsia" w:ascii="宋体" w:hAnsi="宋体" w:cs="宋体"/>
        </w:rPr>
        <w:t>8万元整，报价不可高于控制金额或单价限价，否则参加单位的投标文件视同无效。</w:t>
      </w:r>
    </w:p>
    <w:p w14:paraId="45E236CB">
      <w:pPr>
        <w:pStyle w:val="41"/>
        <w:numPr>
          <w:ilvl w:val="255"/>
          <w:numId w:val="0"/>
        </w:numPr>
        <w:spacing w:line="360" w:lineRule="auto"/>
        <w:ind w:firstLine="420" w:firstLineChars="200"/>
        <w:jc w:val="left"/>
        <w:rPr>
          <w:rFonts w:ascii="宋体" w:hAnsi="宋体" w:cs="宋体"/>
        </w:rPr>
      </w:pPr>
      <w:r>
        <w:rPr>
          <w:rFonts w:hint="eastAsia" w:ascii="宋体" w:hAnsi="宋体" w:cs="宋体"/>
        </w:rPr>
        <w:t>2.本项目报价费用采用包干制，报价包含但不限于设备采购、包装、运输、保险、调试、培训等风险（包括损坏、灭失等）一切费用。如出现任何遗漏内容需产生额外费用，均由中标单位自行承担，采购单位将不再另支付任何费用。一经中标，投标报价总价作为中标单位与采购单位签订的合同金额，合同期限内不做调整。</w:t>
      </w:r>
    </w:p>
    <w:p w14:paraId="2983E898">
      <w:pPr>
        <w:pStyle w:val="41"/>
        <w:numPr>
          <w:ilvl w:val="255"/>
          <w:numId w:val="0"/>
        </w:numPr>
        <w:spacing w:line="360" w:lineRule="auto"/>
        <w:ind w:firstLine="420" w:firstLineChars="200"/>
        <w:jc w:val="left"/>
        <w:rPr>
          <w:rFonts w:ascii="宋体" w:hAnsi="宋体" w:cs="宋体"/>
        </w:rPr>
      </w:pPr>
      <w:r>
        <w:rPr>
          <w:rFonts w:hint="eastAsia" w:ascii="宋体" w:hAnsi="宋体" w:cs="宋体"/>
        </w:rPr>
        <w:t>（八）培训要求：设备在调试同时，中标方负责派工程师对采购方就设备原理和基本操作进行现场培训，中标方派遣的培训工程师不少于2人，培训时间视采购方需要，确保采购方用户能正常操作，不额外收取费用。</w:t>
      </w:r>
    </w:p>
    <w:p w14:paraId="5EA88F57">
      <w:pPr>
        <w:pStyle w:val="41"/>
        <w:numPr>
          <w:ilvl w:val="255"/>
          <w:numId w:val="0"/>
        </w:numPr>
        <w:spacing w:line="360" w:lineRule="auto"/>
        <w:ind w:firstLine="420" w:firstLineChars="200"/>
        <w:jc w:val="left"/>
        <w:rPr>
          <w:rFonts w:ascii="宋体" w:hAnsi="宋体" w:cs="宋体"/>
        </w:rPr>
      </w:pPr>
      <w:r>
        <w:rPr>
          <w:rFonts w:hint="eastAsia" w:ascii="宋体" w:hAnsi="宋体" w:cs="宋体"/>
        </w:rPr>
        <w:t>（九）包装</w:t>
      </w:r>
    </w:p>
    <w:p w14:paraId="1BC63965">
      <w:pPr>
        <w:pStyle w:val="41"/>
        <w:numPr>
          <w:ilvl w:val="255"/>
          <w:numId w:val="0"/>
        </w:numPr>
        <w:spacing w:line="360" w:lineRule="auto"/>
        <w:ind w:firstLine="420" w:firstLineChars="200"/>
        <w:jc w:val="left"/>
        <w:rPr>
          <w:rFonts w:ascii="宋体" w:hAnsi="宋体" w:cs="宋体"/>
        </w:rPr>
      </w:pPr>
      <w:r>
        <w:rPr>
          <w:rFonts w:hint="eastAsia" w:ascii="宋体" w:hAnsi="宋体" w:cs="宋体"/>
        </w:rPr>
        <w:t>1.中标人提供的全部货物均应按标准保护措施进行包装，这类包装应适应于远距离运输、防潮、防震、防锈和防野蛮装卸，以确保货物安全无损运抵指定交货地点。</w:t>
      </w:r>
    </w:p>
    <w:p w14:paraId="6C1E8DD0">
      <w:pPr>
        <w:pStyle w:val="41"/>
        <w:numPr>
          <w:ilvl w:val="255"/>
          <w:numId w:val="0"/>
        </w:numPr>
        <w:spacing w:line="360" w:lineRule="auto"/>
        <w:ind w:firstLine="420" w:firstLineChars="200"/>
        <w:jc w:val="left"/>
        <w:rPr>
          <w:rFonts w:ascii="宋体" w:hAnsi="宋体" w:cs="宋体"/>
        </w:rPr>
      </w:pPr>
      <w:r>
        <w:rPr>
          <w:rFonts w:hint="eastAsia" w:ascii="宋体" w:hAnsi="宋体" w:cs="宋体"/>
        </w:rPr>
        <w:t>2.中标人应在包装箱外标明产品名称、型号，包装箱内随附一份详细装箱单和质量证书。</w:t>
      </w:r>
    </w:p>
    <w:p w14:paraId="6A8B48F1">
      <w:pPr>
        <w:pStyle w:val="41"/>
        <w:numPr>
          <w:ilvl w:val="255"/>
          <w:numId w:val="0"/>
        </w:numPr>
        <w:spacing w:line="360" w:lineRule="auto"/>
        <w:ind w:firstLine="420" w:firstLineChars="200"/>
        <w:jc w:val="left"/>
        <w:rPr>
          <w:rFonts w:ascii="宋体" w:hAnsi="宋体" w:cs="宋体"/>
        </w:rPr>
      </w:pPr>
      <w:r>
        <w:rPr>
          <w:rFonts w:hint="eastAsia" w:ascii="宋体" w:hAnsi="宋体" w:cs="宋体"/>
        </w:rPr>
        <w:t>3.中标人应承担由于其包装或防护措施不当而引起的货物损坏和丢失的任何损失责任和费用。</w:t>
      </w:r>
    </w:p>
    <w:p w14:paraId="37206898">
      <w:pPr>
        <w:pStyle w:val="41"/>
        <w:numPr>
          <w:ilvl w:val="255"/>
          <w:numId w:val="0"/>
        </w:numPr>
        <w:spacing w:line="360" w:lineRule="auto"/>
        <w:ind w:firstLine="420" w:firstLineChars="200"/>
        <w:jc w:val="left"/>
        <w:rPr>
          <w:rFonts w:ascii="宋体" w:hAnsi="宋体" w:cs="宋体"/>
        </w:rPr>
      </w:pPr>
      <w:r>
        <w:rPr>
          <w:rFonts w:hint="eastAsia" w:ascii="宋体" w:hAnsi="宋体" w:cs="宋体"/>
        </w:rPr>
        <w:t>（十）货物验收</w:t>
      </w:r>
    </w:p>
    <w:p w14:paraId="6F8C6AE7">
      <w:pPr>
        <w:pStyle w:val="41"/>
        <w:numPr>
          <w:ilvl w:val="255"/>
          <w:numId w:val="0"/>
        </w:numPr>
        <w:spacing w:line="360" w:lineRule="auto"/>
        <w:ind w:firstLine="420" w:firstLineChars="200"/>
        <w:jc w:val="left"/>
        <w:rPr>
          <w:rFonts w:ascii="宋体" w:hAnsi="宋体" w:cs="宋体"/>
        </w:rPr>
      </w:pPr>
      <w:r>
        <w:rPr>
          <w:rFonts w:hint="eastAsia" w:ascii="宋体" w:hAnsi="宋体" w:cs="宋体"/>
        </w:rPr>
        <w:t>1.货物运至采购人指定地点后，由采购人和中标人双方指派人员按照合同规定对货物进行验收，中标人应提供交货清单等文件供采购人审查，采购人将按合同清单进行规格、数量、外观的检查。</w:t>
      </w:r>
    </w:p>
    <w:p w14:paraId="5C43EDDB">
      <w:pPr>
        <w:pStyle w:val="41"/>
        <w:numPr>
          <w:ilvl w:val="255"/>
          <w:numId w:val="0"/>
        </w:numPr>
        <w:spacing w:line="360" w:lineRule="auto"/>
        <w:ind w:firstLine="420" w:firstLineChars="200"/>
        <w:jc w:val="left"/>
        <w:rPr>
          <w:rFonts w:ascii="宋体" w:hAnsi="宋体" w:cs="宋体"/>
        </w:rPr>
      </w:pPr>
      <w:r>
        <w:rPr>
          <w:rFonts w:hint="eastAsia" w:ascii="宋体" w:hAnsi="宋体" w:cs="宋体"/>
        </w:rPr>
        <w:t>2.收货后10个工作日内采购人和中标人双方进行到货验收工作。如验收合格，采购人应及时履行验收手续，双方签署设备到货验收表；如验收不合格，采购人应以书面形式通知中标人原因，中标人收到通知后5个工作日内提供解决方案，并按采购人要求完成整改。</w:t>
      </w:r>
    </w:p>
    <w:p w14:paraId="0AA85A61">
      <w:pPr>
        <w:pStyle w:val="41"/>
        <w:numPr>
          <w:ilvl w:val="255"/>
          <w:numId w:val="0"/>
        </w:numPr>
        <w:spacing w:line="360" w:lineRule="auto"/>
        <w:ind w:firstLine="420" w:firstLineChars="200"/>
        <w:jc w:val="left"/>
        <w:rPr>
          <w:rFonts w:ascii="宋体" w:hAnsi="宋体" w:cs="宋体"/>
        </w:rPr>
      </w:pPr>
      <w:r>
        <w:rPr>
          <w:rFonts w:hint="eastAsia" w:ascii="宋体" w:hAnsi="宋体" w:cs="宋体"/>
        </w:rPr>
        <w:t>3.在验收工作中，发现数量不足或有质量、技术等问题，中标人应按照合同要求采取补足、更换或退货等处理措施，并承担由此发生的一切费用和损失。</w:t>
      </w:r>
    </w:p>
    <w:p w14:paraId="73E0C042">
      <w:pPr>
        <w:pStyle w:val="41"/>
        <w:numPr>
          <w:ilvl w:val="255"/>
          <w:numId w:val="0"/>
        </w:numPr>
        <w:spacing w:line="360" w:lineRule="auto"/>
        <w:ind w:firstLine="420" w:firstLineChars="200"/>
        <w:jc w:val="left"/>
        <w:rPr>
          <w:rFonts w:ascii="宋体" w:hAnsi="宋体" w:cs="宋体"/>
        </w:rPr>
      </w:pPr>
      <w:r>
        <w:rPr>
          <w:rFonts w:hint="eastAsia" w:ascii="宋体" w:hAnsi="宋体" w:cs="宋体"/>
        </w:rPr>
        <w:t>4.中标人负责于到货验收后10个工作日内在采购人配合下完成所供设备调试，有关技术问题由中标人和制造商协同解决。调试后，双方签署设备调试验收报告。</w:t>
      </w:r>
    </w:p>
    <w:p w14:paraId="406D73BB">
      <w:pPr>
        <w:pStyle w:val="41"/>
        <w:numPr>
          <w:ilvl w:val="255"/>
          <w:numId w:val="0"/>
        </w:numPr>
        <w:spacing w:line="360" w:lineRule="auto"/>
        <w:ind w:firstLine="420" w:firstLineChars="200"/>
        <w:jc w:val="left"/>
        <w:rPr>
          <w:rFonts w:ascii="宋体" w:hAnsi="宋体" w:cs="宋体"/>
        </w:rPr>
      </w:pPr>
      <w:r>
        <w:rPr>
          <w:rFonts w:hint="eastAsia" w:ascii="宋体" w:hAnsi="宋体" w:cs="宋体"/>
        </w:rPr>
        <w:t>5.采购人认为必要时，可以邀请国家认可的质量检测机构参加验收工作，相关验收意见作为验收报告的参考资料，相关费用由中标人承担。</w:t>
      </w:r>
    </w:p>
    <w:p w14:paraId="009E6D3E">
      <w:pPr>
        <w:pStyle w:val="41"/>
        <w:numPr>
          <w:ilvl w:val="255"/>
          <w:numId w:val="0"/>
        </w:numPr>
        <w:spacing w:line="360" w:lineRule="auto"/>
        <w:ind w:firstLine="420" w:firstLineChars="200"/>
        <w:jc w:val="left"/>
        <w:rPr>
          <w:rFonts w:ascii="宋体" w:hAnsi="宋体" w:cs="宋体"/>
        </w:rPr>
      </w:pPr>
      <w:r>
        <w:rPr>
          <w:rFonts w:hint="eastAsia" w:ascii="宋体" w:hAnsi="宋体" w:cs="宋体"/>
        </w:rPr>
        <w:t>6.验收标准以双方达成的对质量和技术标准的约定、中标人承诺的质量和技术标准、国家或行业规定的相关质量和技术标准中最高者为准，且应充分满足采购人使用要求。</w:t>
      </w:r>
    </w:p>
    <w:p w14:paraId="16224809">
      <w:pPr>
        <w:pStyle w:val="41"/>
        <w:spacing w:line="360" w:lineRule="auto"/>
        <w:ind w:firstLine="0"/>
        <w:jc w:val="left"/>
      </w:pPr>
      <w:r>
        <w:rPr>
          <w:rFonts w:hint="eastAsia"/>
        </w:rPr>
        <w:br w:type="page"/>
      </w:r>
    </w:p>
    <w:p w14:paraId="75B07826">
      <w:pPr>
        <w:pStyle w:val="2"/>
      </w:pPr>
      <w:bookmarkStart w:id="3" w:name="_Toc5084"/>
      <w:r>
        <w:rPr>
          <w:rFonts w:hint="eastAsia"/>
        </w:rPr>
        <w:t>第三章  投标审查和评标方法</w:t>
      </w:r>
      <w:bookmarkEnd w:id="3"/>
    </w:p>
    <w:p w14:paraId="2F0F766A">
      <w:pPr>
        <w:pStyle w:val="4"/>
        <w:rPr>
          <w:b/>
          <w:bCs/>
          <w:sz w:val="32"/>
          <w:szCs w:val="32"/>
        </w:rPr>
      </w:pPr>
      <w:bookmarkStart w:id="4" w:name="_Toc24426"/>
      <w:r>
        <w:rPr>
          <w:rFonts w:hint="eastAsia"/>
          <w:b/>
          <w:bCs/>
          <w:sz w:val="32"/>
          <w:szCs w:val="32"/>
        </w:rPr>
        <w:t>一、资格性审查和符合性审查</w:t>
      </w:r>
      <w:bookmarkEnd w:id="4"/>
    </w:p>
    <w:p w14:paraId="5D22E81F">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本章节是本招标文件中涉及的所有无效标和废标情形的摘要，除法律法规另有规定外，投标文件的其他任何情形均不得作无效标和废标处理。招标文件中有关无效标和废标与本章节不一致的，以本章节内容为准。</w:t>
      </w:r>
    </w:p>
    <w:p w14:paraId="1AE4FC16">
      <w:pPr>
        <w:adjustRightInd w:val="0"/>
        <w:spacing w:line="360" w:lineRule="auto"/>
        <w:rPr>
          <w:snapToGrid w:val="0"/>
          <w:kern w:val="0"/>
        </w:rPr>
      </w:pPr>
    </w:p>
    <w:p w14:paraId="33AD9DFA">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1CC9DB19">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6FD10EC7">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2E23208C">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1D8D6B4C">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08642D16">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1FFC23CB">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74C8CB97">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61E39BDA">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663B3D47">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7、未按招标文件所提供的样式填写《投标函》。</w:t>
      </w:r>
    </w:p>
    <w:p w14:paraId="0D1DFA66">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305900FC">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7033890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44AAE8F3">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170E687">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010D2DE8">
      <w:pPr>
        <w:adjustRightInd w:val="0"/>
        <w:spacing w:line="360" w:lineRule="auto"/>
        <w:ind w:firstLine="422" w:firstLineChars="201"/>
        <w:rPr>
          <w:rFonts w:ascii="宋体" w:hAnsi="宋体"/>
          <w:snapToGrid w:val="0"/>
          <w:kern w:val="0"/>
        </w:rPr>
      </w:pPr>
      <w:r>
        <w:rPr>
          <w:rFonts w:hint="eastAsia" w:ascii="宋体" w:hAnsi="宋体"/>
          <w:snapToGrid w:val="0"/>
          <w:kern w:val="0"/>
        </w:rPr>
        <w:t>13、评审中出现下列情形之一的，且供应商在评审现场合理的时间内无法提供书面说明及成本构成，或者提供的书面说明及成本构成不能证明其报价合理性的：</w:t>
      </w:r>
    </w:p>
    <w:p w14:paraId="7596D339">
      <w:pPr>
        <w:adjustRightInd w:val="0"/>
        <w:spacing w:line="360" w:lineRule="auto"/>
        <w:ind w:firstLine="422" w:firstLineChars="201"/>
        <w:rPr>
          <w:rFonts w:ascii="宋体" w:hAnsi="宋体"/>
          <w:snapToGrid w:val="0"/>
          <w:kern w:val="0"/>
        </w:rPr>
      </w:pPr>
      <w:r>
        <w:rPr>
          <w:rFonts w:hint="eastAsia" w:ascii="宋体" w:hAnsi="宋体"/>
          <w:snapToGrid w:val="0"/>
          <w:kern w:val="0"/>
        </w:rPr>
        <w:t>（1）投标（响应）报价低于全部通过符合性审查供应商投标（响应）报价平均值50%的，即投标（响应）报价&lt;全部通过符合性审查供应商投标（响应）报价平均值×50%；</w:t>
      </w:r>
    </w:p>
    <w:p w14:paraId="177213EE">
      <w:pPr>
        <w:adjustRightInd w:val="0"/>
        <w:spacing w:line="360" w:lineRule="auto"/>
        <w:ind w:firstLine="422" w:firstLineChars="201"/>
        <w:rPr>
          <w:rFonts w:ascii="宋体" w:hAnsi="宋体"/>
          <w:snapToGrid w:val="0"/>
          <w:kern w:val="0"/>
        </w:rPr>
      </w:pPr>
      <w:r>
        <w:rPr>
          <w:rFonts w:hint="eastAsia" w:ascii="宋体" w:hAnsi="宋体"/>
          <w:snapToGrid w:val="0"/>
          <w:kern w:val="0"/>
        </w:rPr>
        <w:t>（2）投标（响应）报价低于通过符合性审查且报价次低供应商投标（响应）报价50%的，即投标（响应）报价&lt;通过符合性审查且报价次低供应商投标（响应）报价×50%；</w:t>
      </w:r>
    </w:p>
    <w:p w14:paraId="6EC8FDFE">
      <w:pPr>
        <w:adjustRightInd w:val="0"/>
        <w:spacing w:line="360" w:lineRule="auto"/>
        <w:ind w:firstLine="422" w:firstLineChars="201"/>
        <w:rPr>
          <w:rFonts w:ascii="宋体" w:hAnsi="宋体"/>
          <w:snapToGrid w:val="0"/>
          <w:kern w:val="0"/>
        </w:rPr>
      </w:pPr>
      <w:r>
        <w:rPr>
          <w:rFonts w:hint="eastAsia" w:ascii="宋体" w:hAnsi="宋体"/>
          <w:snapToGrid w:val="0"/>
          <w:kern w:val="0"/>
        </w:rPr>
        <w:t>（3）投标（响应）报价低于采购项目最高限价45%的，即投标（响应）报价&lt;采购项目最高限价×45%；</w:t>
      </w:r>
    </w:p>
    <w:p w14:paraId="30DE65D3">
      <w:pPr>
        <w:adjustRightInd w:val="0"/>
        <w:spacing w:line="360" w:lineRule="auto"/>
        <w:ind w:firstLine="422" w:firstLineChars="201"/>
        <w:rPr>
          <w:rFonts w:ascii="宋体" w:hAnsi="宋体"/>
          <w:snapToGrid w:val="0"/>
          <w:kern w:val="0"/>
        </w:rPr>
      </w:pPr>
      <w:r>
        <w:rPr>
          <w:rFonts w:hint="eastAsia" w:ascii="宋体" w:hAnsi="宋体"/>
          <w:snapToGrid w:val="0"/>
          <w:kern w:val="0"/>
        </w:rPr>
        <w:t>（4）其他评审委员会认为供应商报价过低，有可能影响产品质量或者不能诚信履约的情形。</w:t>
      </w:r>
    </w:p>
    <w:p w14:paraId="097758DC">
      <w:pPr>
        <w:adjustRightInd w:val="0"/>
        <w:spacing w:line="360" w:lineRule="auto"/>
        <w:ind w:firstLine="422" w:firstLineChars="201"/>
        <w:rPr>
          <w:rFonts w:ascii="宋体" w:hAnsi="宋体"/>
          <w:snapToGrid w:val="0"/>
          <w:kern w:val="0"/>
        </w:rPr>
      </w:pPr>
      <w:r>
        <w:rPr>
          <w:rFonts w:hint="eastAsia" w:ascii="宋体" w:hAnsi="宋体"/>
          <w:snapToGrid w:val="0"/>
          <w:kern w:val="0"/>
        </w:rPr>
        <w:t>14、法律法规规定的其它情形。</w:t>
      </w:r>
    </w:p>
    <w:p w14:paraId="5DBAB755"/>
    <w:p w14:paraId="52AD1149"/>
    <w:p w14:paraId="6E7B5166"/>
    <w:p w14:paraId="7354B9B6"/>
    <w:p w14:paraId="48615E60"/>
    <w:p w14:paraId="0D716C80">
      <w:pPr>
        <w:rPr>
          <w:b/>
          <w:bCs/>
          <w:sz w:val="32"/>
          <w:szCs w:val="32"/>
        </w:rPr>
      </w:pPr>
      <w:bookmarkStart w:id="5" w:name="_Toc44690702"/>
      <w:bookmarkStart w:id="6" w:name="_Toc44691161"/>
      <w:bookmarkStart w:id="7" w:name="_Toc44691393"/>
      <w:bookmarkStart w:id="8" w:name="_Toc44690429"/>
      <w:r>
        <w:rPr>
          <w:b/>
          <w:bCs/>
          <w:sz w:val="32"/>
          <w:szCs w:val="32"/>
        </w:rPr>
        <w:br w:type="page"/>
      </w:r>
    </w:p>
    <w:p w14:paraId="6C006FAF"/>
    <w:p w14:paraId="16FCAB9D">
      <w:pPr>
        <w:pStyle w:val="4"/>
      </w:pPr>
      <w:bookmarkStart w:id="9" w:name="_Toc16098"/>
      <w:r>
        <w:rPr>
          <w:rFonts w:hint="eastAsia"/>
          <w:b/>
          <w:bCs/>
          <w:sz w:val="32"/>
          <w:szCs w:val="32"/>
        </w:rPr>
        <w:t>二、评标方法</w:t>
      </w:r>
      <w:bookmarkEnd w:id="5"/>
      <w:bookmarkEnd w:id="6"/>
      <w:bookmarkEnd w:id="7"/>
      <w:bookmarkEnd w:id="8"/>
      <w:bookmarkEnd w:id="9"/>
    </w:p>
    <w:p w14:paraId="08D61E52">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p>
    <w:p w14:paraId="6EA1D1BD">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5F5C5F03">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ascii="宋体" w:hAnsi="宋体" w:cs="仿宋"/>
          <w:kern w:val="2"/>
          <w:sz w:val="21"/>
          <w:szCs w:val="21"/>
        </w:rPr>
        <w:t>综合评分法，是指投标文件满足招标文件全部实质性要求，且按照评审因素的量化指标评审得分最高的投标人为中标候选人的评标方法</w:t>
      </w:r>
      <w:r>
        <w:rPr>
          <w:rFonts w:hint="eastAsia" w:cs="仿宋" w:asciiTheme="minorEastAsia" w:hAnsiTheme="minorEastAsia" w:eastAsiaTheme="minorEastAsia"/>
          <w:kern w:val="2"/>
          <w:sz w:val="21"/>
          <w:szCs w:val="21"/>
        </w:rPr>
        <w:t>。</w:t>
      </w:r>
    </w:p>
    <w:p w14:paraId="550A26C9">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w:t>
      </w:r>
      <w:r>
        <w:rPr>
          <w:rFonts w:hint="eastAsia" w:ascii="宋体" w:hAnsi="宋体" w:cs="仿宋"/>
          <w:b/>
          <w:kern w:val="2"/>
          <w:sz w:val="21"/>
          <w:szCs w:val="21"/>
        </w:rPr>
        <w:t>中标人及中标候选人数量：</w:t>
      </w:r>
      <w:r>
        <w:rPr>
          <w:rFonts w:hint="eastAsia" w:ascii="宋体" w:hAnsi="宋体" w:cs="仿宋"/>
          <w:kern w:val="2"/>
          <w:sz w:val="21"/>
          <w:szCs w:val="21"/>
        </w:rPr>
        <w:t>中标人数量：1名，中标候选人数量：3名</w:t>
      </w:r>
      <w:r>
        <w:rPr>
          <w:rFonts w:hint="eastAsia" w:cs="仿宋" w:asciiTheme="minorEastAsia" w:hAnsiTheme="minorEastAsia" w:eastAsiaTheme="minorEastAsia"/>
          <w:kern w:val="2"/>
          <w:sz w:val="21"/>
          <w:szCs w:val="21"/>
        </w:rPr>
        <w:t>。</w:t>
      </w:r>
    </w:p>
    <w:p w14:paraId="4165D0A1">
      <w:pPr>
        <w:pStyle w:val="46"/>
        <w:spacing w:before="0" w:beforeAutospacing="0" w:after="0" w:afterAutospacing="0" w:line="360" w:lineRule="exact"/>
        <w:ind w:firstLine="426" w:firstLineChars="202"/>
        <w:rPr>
          <w:rFonts w:ascii="宋体" w:hAnsi="宋体" w:cs="仿宋"/>
          <w:b/>
          <w:kern w:val="2"/>
          <w:sz w:val="21"/>
          <w:szCs w:val="21"/>
        </w:rPr>
      </w:pPr>
      <w:r>
        <w:rPr>
          <w:rFonts w:hint="eastAsia" w:ascii="宋体" w:hAnsi="宋体" w:cs="仿宋"/>
          <w:b/>
          <w:kern w:val="2"/>
          <w:sz w:val="21"/>
          <w:szCs w:val="21"/>
        </w:rPr>
        <w:t>3、评标规则：</w:t>
      </w:r>
    </w:p>
    <w:p w14:paraId="56693027">
      <w:pPr>
        <w:pStyle w:val="46"/>
        <w:spacing w:before="0" w:beforeAutospacing="0" w:after="0" w:afterAutospacing="0" w:line="360" w:lineRule="exact"/>
        <w:ind w:firstLine="424" w:firstLineChars="202"/>
        <w:rPr>
          <w:rFonts w:ascii="宋体" w:hAnsi="宋体" w:cs="仿宋"/>
          <w:kern w:val="2"/>
          <w:sz w:val="21"/>
          <w:szCs w:val="21"/>
        </w:rPr>
      </w:pPr>
      <w:r>
        <w:rPr>
          <w:rFonts w:hint="eastAsia" w:ascii="宋体" w:hAnsi="宋体" w:cs="仿宋"/>
          <w:kern w:val="2"/>
          <w:sz w:val="21"/>
          <w:szCs w:val="21"/>
        </w:rPr>
        <w:t>评标时，评标委员会按照“</w:t>
      </w:r>
      <w:r>
        <w:rPr>
          <w:rFonts w:hint="eastAsia" w:ascii="宋体" w:hAnsi="宋体"/>
          <w:bCs/>
          <w:sz w:val="21"/>
          <w:szCs w:val="21"/>
        </w:rPr>
        <w:t>评标标准</w:t>
      </w:r>
      <w:r>
        <w:rPr>
          <w:rFonts w:hint="eastAsia" w:ascii="宋体" w:hAnsi="宋体" w:cs="仿宋"/>
          <w:kern w:val="2"/>
          <w:sz w:val="21"/>
          <w:szCs w:val="21"/>
        </w:rPr>
        <w:t>”中的各项评审因素，对通过资格性审查和符合性审查的所有投标人的投标文件进行独立评审，并汇总每个投标人的得分，取算术平均值后确定其评审得分。</w:t>
      </w:r>
    </w:p>
    <w:p w14:paraId="788A5B65">
      <w:pPr>
        <w:pStyle w:val="46"/>
        <w:spacing w:before="0" w:beforeAutospacing="0" w:after="0" w:afterAutospacing="0" w:line="360" w:lineRule="exact"/>
        <w:ind w:firstLine="424" w:firstLineChars="202"/>
        <w:rPr>
          <w:rFonts w:ascii="宋体" w:hAnsi="宋体" w:cs="仿宋"/>
          <w:kern w:val="2"/>
          <w:sz w:val="21"/>
          <w:szCs w:val="21"/>
        </w:rPr>
      </w:pPr>
      <w:r>
        <w:rPr>
          <w:rFonts w:hint="eastAsia" w:ascii="宋体" w:hAnsi="宋体" w:cs="仿宋"/>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056C7023">
      <w:pPr>
        <w:pStyle w:val="46"/>
        <w:spacing w:before="0" w:beforeAutospacing="0" w:after="0" w:afterAutospacing="0" w:line="360" w:lineRule="exact"/>
        <w:ind w:firstLine="424" w:firstLineChars="202"/>
        <w:rPr>
          <w:rFonts w:ascii="宋体" w:hAnsi="宋体" w:cs="仿宋"/>
          <w:kern w:val="2"/>
          <w:sz w:val="21"/>
          <w:szCs w:val="21"/>
        </w:rPr>
      </w:pPr>
      <w:r>
        <w:rPr>
          <w:rFonts w:hint="eastAsia" w:ascii="宋体" w:hAnsi="宋体" w:cs="仿宋"/>
          <w:kern w:val="2"/>
          <w:sz w:val="21"/>
          <w:szCs w:val="21"/>
        </w:rPr>
        <w:t>（因落实政府采购政策进行价格调整的，以调整后的价格计算投标报价。）</w:t>
      </w:r>
    </w:p>
    <w:p w14:paraId="00B1414D">
      <w:pPr>
        <w:pStyle w:val="46"/>
        <w:spacing w:before="0" w:beforeAutospacing="0" w:after="0" w:afterAutospacing="0" w:line="360" w:lineRule="exact"/>
        <w:ind w:firstLine="426" w:firstLineChars="202"/>
        <w:rPr>
          <w:rFonts w:ascii="宋体" w:hAnsi="宋体" w:cs="仿宋"/>
          <w:b/>
          <w:kern w:val="2"/>
          <w:sz w:val="21"/>
          <w:szCs w:val="21"/>
        </w:rPr>
      </w:pPr>
      <w:r>
        <w:rPr>
          <w:rFonts w:hint="eastAsia" w:ascii="宋体" w:hAnsi="宋体" w:cs="仿宋"/>
          <w:b/>
          <w:kern w:val="2"/>
          <w:sz w:val="21"/>
          <w:szCs w:val="21"/>
        </w:rPr>
        <w:t>4、确定中标人：</w:t>
      </w:r>
    </w:p>
    <w:p w14:paraId="4EF39A24">
      <w:pPr>
        <w:spacing w:line="360" w:lineRule="exact"/>
        <w:ind w:firstLine="424" w:firstLineChars="202"/>
        <w:rPr>
          <w:rFonts w:ascii="宋体" w:hAnsi="宋体" w:cs="仿宋"/>
          <w:szCs w:val="21"/>
        </w:rPr>
      </w:pPr>
      <w:r>
        <w:rPr>
          <w:rFonts w:hint="eastAsia" w:ascii="宋体" w:hAnsi="宋体" w:cs="仿宋"/>
          <w:szCs w:val="21"/>
        </w:rPr>
        <w:t>采购人在收到评标报告之日起5个工作日内，在评标报告确定的中标候选人名单中按顺序确定中标人。</w:t>
      </w:r>
    </w:p>
    <w:p w14:paraId="4A17D11C">
      <w:pPr>
        <w:spacing w:line="360" w:lineRule="exact"/>
        <w:ind w:firstLine="424" w:firstLineChars="202"/>
        <w:rPr>
          <w:rFonts w:ascii="宋体" w:hAnsi="宋体" w:cs="仿宋"/>
          <w:szCs w:val="21"/>
        </w:rPr>
      </w:pPr>
    </w:p>
    <w:p w14:paraId="5ED0008A">
      <w:pPr>
        <w:spacing w:line="360" w:lineRule="exact"/>
        <w:ind w:firstLine="424" w:firstLineChars="202"/>
        <w:rPr>
          <w:rFonts w:ascii="宋体" w:hAnsi="宋体" w:cs="仿宋"/>
          <w:szCs w:val="21"/>
        </w:rPr>
      </w:pPr>
    </w:p>
    <w:p w14:paraId="6483470B">
      <w:pPr>
        <w:pStyle w:val="4"/>
      </w:pPr>
      <w:bookmarkStart w:id="10" w:name="_Toc18434"/>
      <w:r>
        <w:rPr>
          <w:rFonts w:hint="eastAsia"/>
          <w:b/>
          <w:bCs/>
          <w:sz w:val="32"/>
          <w:szCs w:val="32"/>
        </w:rPr>
        <w:t>三、评标标准</w:t>
      </w:r>
      <w:bookmarkEnd w:id="10"/>
    </w:p>
    <w:p w14:paraId="272F5DF5">
      <w:pPr>
        <w:spacing w:line="360" w:lineRule="auto"/>
        <w:ind w:firstLine="424" w:firstLineChars="202"/>
        <w:rPr>
          <w:snapToGrid w:val="0"/>
          <w:kern w:val="0"/>
        </w:rPr>
      </w:pPr>
      <w:r>
        <w:rPr>
          <w:rFonts w:hint="eastAsia"/>
          <w:snapToGrid w:val="0"/>
          <w:kern w:val="0"/>
        </w:rPr>
        <w:t>评标委员会按照以下量化的评审因素，对各投标文件进行综合评审：</w:t>
      </w:r>
    </w:p>
    <w:tbl>
      <w:tblPr>
        <w:tblStyle w:val="51"/>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640"/>
        <w:gridCol w:w="6022"/>
        <w:gridCol w:w="1187"/>
      </w:tblGrid>
      <w:tr w14:paraId="0A437C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1A6B7A1A">
            <w:pPr>
              <w:tabs>
                <w:tab w:val="left" w:pos="426"/>
              </w:tabs>
              <w:autoSpaceDE w:val="0"/>
              <w:autoSpaceDN w:val="0"/>
              <w:adjustRightInd w:val="0"/>
              <w:snapToGrid w:val="0"/>
              <w:spacing w:line="360" w:lineRule="exact"/>
              <w:jc w:val="center"/>
              <w:rPr>
                <w:rFonts w:ascii="宋体" w:hAnsi="宋体" w:cs="宋体"/>
                <w:b/>
                <w:szCs w:val="21"/>
                <w:lang w:val="zh-CN"/>
              </w:rPr>
            </w:pPr>
            <w:r>
              <w:rPr>
                <w:rFonts w:hint="eastAsia" w:ascii="宋体" w:hAnsi="宋体" w:cs="宋体"/>
                <w:b/>
                <w:szCs w:val="21"/>
                <w:lang w:val="zh-CN"/>
              </w:rPr>
              <w:t>评分项及评分规则</w:t>
            </w:r>
          </w:p>
        </w:tc>
        <w:tc>
          <w:tcPr>
            <w:tcW w:w="1187" w:type="dxa"/>
            <w:vAlign w:val="center"/>
          </w:tcPr>
          <w:p w14:paraId="154EF45C">
            <w:pPr>
              <w:tabs>
                <w:tab w:val="left" w:pos="426"/>
              </w:tabs>
              <w:autoSpaceDE w:val="0"/>
              <w:autoSpaceDN w:val="0"/>
              <w:adjustRightInd w:val="0"/>
              <w:snapToGrid w:val="0"/>
              <w:spacing w:line="360" w:lineRule="exact"/>
              <w:jc w:val="center"/>
              <w:rPr>
                <w:rFonts w:ascii="宋体" w:hAnsi="宋体" w:cs="宋体"/>
                <w:b/>
                <w:szCs w:val="21"/>
                <w:lang w:val="zh-CN"/>
              </w:rPr>
            </w:pPr>
            <w:r>
              <w:rPr>
                <w:rFonts w:hint="eastAsia" w:ascii="宋体" w:hAnsi="宋体" w:cs="宋体"/>
                <w:b/>
                <w:szCs w:val="21"/>
                <w:lang w:val="zh-CN"/>
              </w:rPr>
              <w:t>权重</w:t>
            </w:r>
          </w:p>
        </w:tc>
      </w:tr>
      <w:tr w14:paraId="06C3D6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62F395D">
            <w:pPr>
              <w:tabs>
                <w:tab w:val="left" w:pos="426"/>
              </w:tabs>
              <w:autoSpaceDE w:val="0"/>
              <w:autoSpaceDN w:val="0"/>
              <w:adjustRightInd w:val="0"/>
              <w:snapToGrid w:val="0"/>
              <w:spacing w:line="360" w:lineRule="exact"/>
              <w:jc w:val="center"/>
              <w:rPr>
                <w:rFonts w:ascii="宋体" w:hAnsi="宋体" w:cs="宋体"/>
                <w:b/>
                <w:szCs w:val="21"/>
                <w:lang w:val="zh-CN"/>
              </w:rPr>
            </w:pPr>
            <w:r>
              <w:rPr>
                <w:rFonts w:hint="eastAsia" w:ascii="宋体" w:hAnsi="宋体" w:cs="宋体"/>
                <w:b/>
                <w:szCs w:val="21"/>
                <w:lang w:val="zh-CN"/>
              </w:rPr>
              <w:t>一、价格部分</w:t>
            </w:r>
          </w:p>
        </w:tc>
        <w:tc>
          <w:tcPr>
            <w:tcW w:w="1187" w:type="dxa"/>
            <w:vAlign w:val="center"/>
          </w:tcPr>
          <w:p w14:paraId="1F38BCC1">
            <w:pPr>
              <w:tabs>
                <w:tab w:val="left" w:pos="426"/>
              </w:tabs>
              <w:autoSpaceDE w:val="0"/>
              <w:autoSpaceDN w:val="0"/>
              <w:adjustRightInd w:val="0"/>
              <w:snapToGrid w:val="0"/>
              <w:spacing w:line="360" w:lineRule="exact"/>
              <w:jc w:val="center"/>
              <w:rPr>
                <w:rFonts w:ascii="宋体" w:hAnsi="宋体" w:cs="宋体"/>
                <w:b/>
                <w:szCs w:val="21"/>
              </w:rPr>
            </w:pPr>
            <w:r>
              <w:rPr>
                <w:rFonts w:hint="eastAsia" w:ascii="宋体" w:hAnsi="宋体" w:cs="宋体"/>
                <w:b/>
                <w:szCs w:val="21"/>
              </w:rPr>
              <w:t>30</w:t>
            </w:r>
          </w:p>
        </w:tc>
      </w:tr>
      <w:tr w14:paraId="1F5E4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007627E7">
            <w:pPr>
              <w:widowControl/>
              <w:spacing w:line="360" w:lineRule="exact"/>
              <w:jc w:val="left"/>
              <w:rPr>
                <w:rFonts w:ascii="宋体" w:hAnsi="宋体" w:cs="宋体"/>
                <w:szCs w:val="21"/>
              </w:rPr>
            </w:pPr>
            <w:r>
              <w:rPr>
                <w:rFonts w:hint="eastAsia" w:ascii="宋体" w:hAnsi="宋体" w:cs="宋体"/>
                <w:szCs w:val="21"/>
              </w:rPr>
              <w:t>价格分采用低价优先法计算，即满足招标文件要求且投标价格最低的投标报价为评标基准价，其价格分为满分。其他投标人的价格分统一按照下列公式计算：</w:t>
            </w:r>
          </w:p>
          <w:p w14:paraId="5912BE27">
            <w:pPr>
              <w:widowControl/>
              <w:spacing w:line="360" w:lineRule="exact"/>
              <w:jc w:val="left"/>
              <w:rPr>
                <w:rFonts w:ascii="宋体" w:hAnsi="宋体" w:cs="宋体"/>
                <w:szCs w:val="21"/>
              </w:rPr>
            </w:pPr>
            <w:r>
              <w:rPr>
                <w:rFonts w:hint="eastAsia" w:ascii="宋体" w:hAnsi="宋体" w:cs="宋体"/>
                <w:szCs w:val="21"/>
              </w:rPr>
              <w:t>投标报价得分=(评标基准价／投标报价)×价格部分权重</w:t>
            </w:r>
          </w:p>
          <w:p w14:paraId="31153224">
            <w:pPr>
              <w:adjustRightInd w:val="0"/>
              <w:snapToGrid w:val="0"/>
              <w:spacing w:line="360" w:lineRule="exact"/>
              <w:rPr>
                <w:rFonts w:ascii="宋体" w:hAnsi="宋体" w:cs="宋体"/>
                <w:snapToGrid w:val="0"/>
                <w:kern w:val="0"/>
                <w:szCs w:val="21"/>
              </w:rPr>
            </w:pPr>
            <w:r>
              <w:rPr>
                <w:rFonts w:hint="eastAsia" w:ascii="宋体" w:hAnsi="宋体" w:cs="宋体"/>
                <w:snapToGrid w:val="0"/>
                <w:kern w:val="0"/>
                <w:szCs w:val="21"/>
              </w:rPr>
              <w:t>备注：</w:t>
            </w:r>
          </w:p>
          <w:p w14:paraId="7E6710BA">
            <w:pPr>
              <w:adjustRightInd w:val="0"/>
              <w:snapToGrid w:val="0"/>
              <w:spacing w:line="360" w:lineRule="exact"/>
              <w:rPr>
                <w:rFonts w:ascii="宋体" w:hAnsi="宋体" w:cs="宋体"/>
                <w:bCs/>
                <w:snapToGrid w:val="0"/>
                <w:kern w:val="0"/>
                <w:szCs w:val="21"/>
              </w:rPr>
            </w:pPr>
            <w:r>
              <w:rPr>
                <w:rFonts w:hint="eastAsia" w:ascii="宋体" w:hAnsi="宋体" w:cs="宋体"/>
                <w:snapToGrid w:val="0"/>
                <w:kern w:val="0"/>
                <w:szCs w:val="21"/>
              </w:rPr>
              <w:t>1、因落实政府采购政策进行价格调整的，以调整后的价格计算评标基准价和投标报价</w:t>
            </w:r>
            <w:r>
              <w:rPr>
                <w:rFonts w:hint="eastAsia" w:ascii="宋体" w:hAnsi="宋体" w:cs="宋体"/>
                <w:bCs/>
                <w:snapToGrid w:val="0"/>
                <w:kern w:val="0"/>
                <w:szCs w:val="21"/>
              </w:rPr>
              <w:t>；</w:t>
            </w:r>
          </w:p>
          <w:p w14:paraId="77819137">
            <w:pPr>
              <w:tabs>
                <w:tab w:val="left" w:pos="426"/>
              </w:tabs>
              <w:adjustRightInd w:val="0"/>
              <w:snapToGrid w:val="0"/>
              <w:spacing w:line="360" w:lineRule="exact"/>
              <w:rPr>
                <w:rFonts w:ascii="宋体" w:hAnsi="宋体" w:cs="宋体"/>
                <w:szCs w:val="21"/>
              </w:rPr>
            </w:pPr>
            <w:r>
              <w:rPr>
                <w:rFonts w:hint="eastAsia" w:ascii="宋体" w:hAnsi="宋体" w:cs="宋体"/>
                <w:snapToGrid w:val="0"/>
                <w:kern w:val="0"/>
                <w:szCs w:val="21"/>
              </w:rPr>
              <w:t>2、投标报价得分四舍五入后，小数点后保留两位有效数</w:t>
            </w:r>
            <w:r>
              <w:rPr>
                <w:rFonts w:hint="eastAsia" w:ascii="宋体" w:hAnsi="宋体" w:cs="宋体"/>
                <w:szCs w:val="21"/>
              </w:rPr>
              <w:t>。如遇保留两位小数无法比较价格分高低且无法除尽的情形，则多保留两位小数（四位小数、六位小数...以此类推），直至能比较出价格分高低。</w:t>
            </w:r>
          </w:p>
        </w:tc>
        <w:tc>
          <w:tcPr>
            <w:tcW w:w="1187" w:type="dxa"/>
            <w:vAlign w:val="center"/>
          </w:tcPr>
          <w:p w14:paraId="42BE0E66">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lang w:val="zh-CN"/>
              </w:rPr>
              <w:t>按公式计算评分</w:t>
            </w:r>
          </w:p>
        </w:tc>
      </w:tr>
      <w:tr w14:paraId="7D196E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5183326D">
            <w:pPr>
              <w:tabs>
                <w:tab w:val="left" w:pos="426"/>
              </w:tabs>
              <w:autoSpaceDE w:val="0"/>
              <w:autoSpaceDN w:val="0"/>
              <w:adjustRightInd w:val="0"/>
              <w:snapToGrid w:val="0"/>
              <w:spacing w:line="360" w:lineRule="exact"/>
              <w:jc w:val="center"/>
              <w:rPr>
                <w:rFonts w:ascii="宋体" w:hAnsi="宋体" w:cs="宋体"/>
                <w:b/>
                <w:szCs w:val="21"/>
              </w:rPr>
            </w:pPr>
            <w:r>
              <w:rPr>
                <w:rFonts w:hint="eastAsia" w:ascii="宋体" w:hAnsi="宋体" w:cs="宋体"/>
                <w:b/>
                <w:szCs w:val="21"/>
              </w:rPr>
              <w:t>二、技术部分</w:t>
            </w:r>
          </w:p>
        </w:tc>
        <w:tc>
          <w:tcPr>
            <w:tcW w:w="1187" w:type="dxa"/>
            <w:vAlign w:val="center"/>
          </w:tcPr>
          <w:p w14:paraId="05817C8E">
            <w:pPr>
              <w:tabs>
                <w:tab w:val="left" w:pos="426"/>
              </w:tabs>
              <w:autoSpaceDE w:val="0"/>
              <w:autoSpaceDN w:val="0"/>
              <w:adjustRightInd w:val="0"/>
              <w:snapToGrid w:val="0"/>
              <w:spacing w:line="360" w:lineRule="exact"/>
              <w:jc w:val="center"/>
              <w:rPr>
                <w:rFonts w:ascii="宋体" w:hAnsi="宋体" w:cs="宋体"/>
                <w:b/>
                <w:szCs w:val="21"/>
              </w:rPr>
            </w:pPr>
            <w:r>
              <w:rPr>
                <w:rFonts w:hint="eastAsia" w:ascii="宋体" w:hAnsi="宋体" w:cs="宋体"/>
                <w:b/>
                <w:szCs w:val="21"/>
              </w:rPr>
              <w:t>60</w:t>
            </w:r>
          </w:p>
        </w:tc>
      </w:tr>
      <w:tr w14:paraId="3D4AA2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6D4DD7F3">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28B4E6A7">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内容</w:t>
            </w:r>
          </w:p>
        </w:tc>
        <w:tc>
          <w:tcPr>
            <w:tcW w:w="640" w:type="dxa"/>
            <w:vAlign w:val="center"/>
          </w:tcPr>
          <w:p w14:paraId="5AA92CD9">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权重</w:t>
            </w:r>
          </w:p>
        </w:tc>
        <w:tc>
          <w:tcPr>
            <w:tcW w:w="6022" w:type="dxa"/>
            <w:vAlign w:val="center"/>
          </w:tcPr>
          <w:p w14:paraId="3D46ED32">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36933288">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评分方式</w:t>
            </w:r>
          </w:p>
        </w:tc>
      </w:tr>
      <w:tr w14:paraId="3D495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3729275">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3CD007DA">
            <w:pPr>
              <w:widowControl/>
              <w:tabs>
                <w:tab w:val="left" w:pos="426"/>
              </w:tabs>
              <w:snapToGrid w:val="0"/>
              <w:spacing w:line="360" w:lineRule="exact"/>
              <w:jc w:val="center"/>
              <w:rPr>
                <w:rFonts w:ascii="宋体" w:hAnsi="宋体" w:cs="宋体"/>
                <w:szCs w:val="21"/>
              </w:rPr>
            </w:pPr>
            <w:r>
              <w:rPr>
                <w:rFonts w:hint="eastAsia" w:ascii="宋体" w:hAnsi="宋体" w:cs="宋体"/>
                <w:szCs w:val="21"/>
              </w:rPr>
              <w:t>技术规格偏离情况</w:t>
            </w:r>
          </w:p>
        </w:tc>
        <w:tc>
          <w:tcPr>
            <w:tcW w:w="640" w:type="dxa"/>
            <w:vAlign w:val="center"/>
          </w:tcPr>
          <w:p w14:paraId="5AEC7974">
            <w:pPr>
              <w:widowControl/>
              <w:tabs>
                <w:tab w:val="left" w:pos="426"/>
              </w:tabs>
              <w:snapToGrid w:val="0"/>
              <w:spacing w:line="360" w:lineRule="exact"/>
              <w:jc w:val="center"/>
              <w:rPr>
                <w:rFonts w:ascii="宋体" w:hAnsi="宋体" w:cs="宋体"/>
                <w:szCs w:val="21"/>
              </w:rPr>
            </w:pPr>
            <w:r>
              <w:rPr>
                <w:rFonts w:hint="eastAsia" w:ascii="宋体" w:hAnsi="宋体" w:cs="宋体"/>
                <w:szCs w:val="21"/>
              </w:rPr>
              <w:t>48</w:t>
            </w:r>
          </w:p>
        </w:tc>
        <w:tc>
          <w:tcPr>
            <w:tcW w:w="6022" w:type="dxa"/>
            <w:vAlign w:val="center"/>
          </w:tcPr>
          <w:p w14:paraId="16FE3C90">
            <w:pPr>
              <w:snapToGrid w:val="0"/>
              <w:spacing w:line="360" w:lineRule="exact"/>
              <w:jc w:val="left"/>
              <w:rPr>
                <w:rFonts w:ascii="宋体" w:hAnsi="宋体" w:cs="宋体"/>
                <w:szCs w:val="21"/>
              </w:rPr>
            </w:pPr>
            <w:r>
              <w:rPr>
                <w:rFonts w:hint="eastAsia" w:ascii="宋体" w:hAnsi="宋体" w:cs="宋体"/>
                <w:szCs w:val="21"/>
              </w:rPr>
              <w:t>（一）评分内容：</w:t>
            </w:r>
          </w:p>
          <w:p w14:paraId="3968B120">
            <w:pPr>
              <w:snapToGrid w:val="0"/>
              <w:spacing w:line="360" w:lineRule="exact"/>
              <w:jc w:val="left"/>
              <w:rPr>
                <w:rFonts w:ascii="宋体" w:hAnsi="宋体" w:cs="宋体"/>
                <w:szCs w:val="21"/>
              </w:rPr>
            </w:pPr>
            <w:r>
              <w:rPr>
                <w:rFonts w:hint="eastAsia" w:ascii="宋体" w:hAnsi="宋体" w:cs="宋体"/>
                <w:szCs w:val="21"/>
              </w:rPr>
              <w:t>完全满足招标文件技术指标、参数要求，应答完整的得48分；“★”为不可偏离参数；以此为基础，投标人的技术响应负偏离招标文件技术要求中的</w:t>
            </w:r>
            <w:bookmarkStart w:id="11" w:name="OLE_LINK8"/>
            <w:r>
              <w:rPr>
                <w:rFonts w:hint="eastAsia" w:ascii="宋体" w:hAnsi="宋体" w:cs="宋体"/>
                <w:szCs w:val="21"/>
              </w:rPr>
              <w:t>“▲”</w:t>
            </w:r>
            <w:bookmarkEnd w:id="11"/>
            <w:r>
              <w:rPr>
                <w:rFonts w:hint="eastAsia" w:ascii="宋体" w:hAnsi="宋体" w:cs="宋体"/>
                <w:szCs w:val="21"/>
              </w:rPr>
              <w:t>重要参数要求（共</w:t>
            </w:r>
            <w:r>
              <w:rPr>
                <w:rFonts w:hint="eastAsia" w:ascii="宋体" w:hAnsi="宋体" w:cs="宋体"/>
                <w:szCs w:val="21"/>
                <w:lang w:val="en-US" w:eastAsia="zh-CN"/>
              </w:rPr>
              <w:t>3</w:t>
            </w:r>
            <w:r>
              <w:rPr>
                <w:rFonts w:hint="eastAsia" w:ascii="宋体" w:hAnsi="宋体" w:cs="宋体"/>
                <w:szCs w:val="21"/>
              </w:rPr>
              <w:t>项）的，每一项扣8分；投标人的技术响应负偏离招标文件技术要求的一般参数要求（共5项）的，每一项扣4.8分。本项最低得0分。</w:t>
            </w:r>
          </w:p>
          <w:p w14:paraId="4EFDB243">
            <w:pPr>
              <w:snapToGrid w:val="0"/>
              <w:spacing w:line="360" w:lineRule="exact"/>
              <w:jc w:val="left"/>
              <w:rPr>
                <w:rFonts w:ascii="宋体" w:hAnsi="宋体" w:cs="宋体"/>
                <w:szCs w:val="21"/>
              </w:rPr>
            </w:pPr>
            <w:r>
              <w:rPr>
                <w:rFonts w:hint="eastAsia" w:ascii="宋体" w:hAnsi="宋体" w:cs="宋体"/>
                <w:szCs w:val="21"/>
              </w:rPr>
              <w:t>（二）评分依据</w:t>
            </w:r>
          </w:p>
          <w:p w14:paraId="4B80DAEE">
            <w:pPr>
              <w:snapToGrid w:val="0"/>
              <w:spacing w:line="360" w:lineRule="exact"/>
              <w:jc w:val="left"/>
              <w:rPr>
                <w:rFonts w:ascii="宋体" w:hAnsi="宋体" w:cs="宋体"/>
                <w:szCs w:val="21"/>
              </w:rPr>
            </w:pPr>
            <w:r>
              <w:rPr>
                <w:rFonts w:hint="eastAsia" w:ascii="宋体" w:hAnsi="宋体" w:cs="宋体"/>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tc>
        <w:tc>
          <w:tcPr>
            <w:tcW w:w="1187" w:type="dxa"/>
            <w:vAlign w:val="center"/>
          </w:tcPr>
          <w:p w14:paraId="5263FE79">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评委打分</w:t>
            </w:r>
          </w:p>
        </w:tc>
      </w:tr>
      <w:tr w14:paraId="7C3470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48" w:hRule="atLeast"/>
          <w:jc w:val="center"/>
        </w:trPr>
        <w:tc>
          <w:tcPr>
            <w:tcW w:w="754" w:type="dxa"/>
            <w:vAlign w:val="center"/>
          </w:tcPr>
          <w:p w14:paraId="4C2B798A">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1827A123">
            <w:pPr>
              <w:tabs>
                <w:tab w:val="left" w:pos="426"/>
              </w:tabs>
              <w:snapToGrid w:val="0"/>
              <w:spacing w:line="360" w:lineRule="exact"/>
              <w:jc w:val="center"/>
              <w:rPr>
                <w:rFonts w:ascii="宋体" w:hAnsi="宋体" w:cs="宋体"/>
                <w:szCs w:val="21"/>
              </w:rPr>
            </w:pPr>
            <w:r>
              <w:rPr>
                <w:rFonts w:hint="eastAsia" w:ascii="宋体" w:hAnsi="宋体" w:cs="宋体"/>
                <w:szCs w:val="21"/>
              </w:rPr>
              <w:t>技术保障措施</w:t>
            </w:r>
          </w:p>
        </w:tc>
        <w:tc>
          <w:tcPr>
            <w:tcW w:w="640" w:type="dxa"/>
            <w:vAlign w:val="center"/>
          </w:tcPr>
          <w:p w14:paraId="12E8A24A">
            <w:pPr>
              <w:tabs>
                <w:tab w:val="left" w:pos="426"/>
              </w:tabs>
              <w:snapToGrid w:val="0"/>
              <w:spacing w:line="360" w:lineRule="exact"/>
              <w:jc w:val="center"/>
              <w:rPr>
                <w:rFonts w:ascii="宋体" w:hAnsi="宋体" w:cs="宋体"/>
                <w:szCs w:val="21"/>
              </w:rPr>
            </w:pPr>
            <w:r>
              <w:rPr>
                <w:rFonts w:hint="eastAsia" w:ascii="宋体" w:hAnsi="宋体" w:cs="宋体"/>
                <w:szCs w:val="21"/>
              </w:rPr>
              <w:t>6</w:t>
            </w:r>
          </w:p>
        </w:tc>
        <w:tc>
          <w:tcPr>
            <w:tcW w:w="6022" w:type="dxa"/>
            <w:vAlign w:val="center"/>
          </w:tcPr>
          <w:p w14:paraId="453B504A">
            <w:pPr>
              <w:snapToGrid w:val="0"/>
              <w:spacing w:line="360" w:lineRule="exact"/>
              <w:jc w:val="left"/>
              <w:rPr>
                <w:rFonts w:ascii="宋体" w:hAnsi="宋体" w:cs="宋体"/>
                <w:szCs w:val="21"/>
              </w:rPr>
            </w:pPr>
            <w:r>
              <w:rPr>
                <w:rFonts w:hint="eastAsia" w:ascii="宋体" w:hAnsi="宋体" w:cs="宋体"/>
                <w:szCs w:val="21"/>
              </w:rPr>
              <w:t>（一）评分内容：</w:t>
            </w:r>
          </w:p>
          <w:p w14:paraId="1DFD4495">
            <w:pPr>
              <w:snapToGrid w:val="0"/>
              <w:spacing w:line="360" w:lineRule="exact"/>
              <w:jc w:val="left"/>
              <w:rPr>
                <w:rFonts w:ascii="宋体" w:hAnsi="宋体" w:cs="宋体"/>
                <w:szCs w:val="21"/>
              </w:rPr>
            </w:pPr>
            <w:r>
              <w:rPr>
                <w:rFonts w:hint="eastAsia" w:ascii="宋体" w:hAnsi="宋体" w:cs="宋体"/>
                <w:szCs w:val="21"/>
              </w:rPr>
              <w:t>投标人在投标文件中详细说明技术保障措施，包含以下内容：</w:t>
            </w:r>
          </w:p>
          <w:p w14:paraId="5AD19BA7">
            <w:pPr>
              <w:snapToGrid w:val="0"/>
              <w:spacing w:line="360" w:lineRule="exact"/>
              <w:jc w:val="left"/>
              <w:rPr>
                <w:rFonts w:ascii="宋体" w:hAnsi="宋体" w:cs="宋体"/>
                <w:szCs w:val="21"/>
              </w:rPr>
            </w:pPr>
            <w:r>
              <w:rPr>
                <w:rFonts w:hint="eastAsia" w:ascii="宋体" w:hAnsi="宋体" w:cs="宋体"/>
                <w:szCs w:val="21"/>
              </w:rPr>
              <w:t>（1）供货方案；</w:t>
            </w:r>
          </w:p>
          <w:p w14:paraId="24DA4F9B">
            <w:pPr>
              <w:snapToGrid w:val="0"/>
              <w:spacing w:line="360" w:lineRule="exact"/>
              <w:jc w:val="left"/>
              <w:rPr>
                <w:rFonts w:ascii="宋体" w:hAnsi="宋体" w:cs="宋体"/>
                <w:szCs w:val="21"/>
              </w:rPr>
            </w:pPr>
            <w:r>
              <w:rPr>
                <w:rFonts w:hint="eastAsia" w:ascii="宋体" w:hAnsi="宋体" w:cs="宋体"/>
                <w:szCs w:val="21"/>
              </w:rPr>
              <w:t>（2）</w:t>
            </w:r>
            <w:r>
              <w:rPr>
                <w:rFonts w:hint="eastAsia" w:ascii="宋体" w:hAnsi="宋体" w:cs="宋体"/>
                <w:szCs w:val="21"/>
                <w:lang w:eastAsia="zh-CN"/>
              </w:rPr>
              <w:t>设备</w:t>
            </w:r>
            <w:r>
              <w:rPr>
                <w:rFonts w:hint="eastAsia" w:ascii="宋体" w:hAnsi="宋体" w:cs="宋体"/>
                <w:szCs w:val="21"/>
              </w:rPr>
              <w:t>调试方案；</w:t>
            </w:r>
          </w:p>
          <w:p w14:paraId="05101EB7">
            <w:pPr>
              <w:snapToGrid w:val="0"/>
              <w:spacing w:line="360" w:lineRule="exact"/>
              <w:jc w:val="left"/>
              <w:rPr>
                <w:rFonts w:ascii="宋体" w:hAnsi="宋体" w:cs="宋体"/>
                <w:szCs w:val="21"/>
              </w:rPr>
            </w:pPr>
            <w:r>
              <w:rPr>
                <w:rFonts w:hint="eastAsia" w:ascii="宋体" w:hAnsi="宋体" w:cs="宋体"/>
                <w:szCs w:val="21"/>
              </w:rPr>
              <w:t>（3）质量管理措施。</w:t>
            </w:r>
          </w:p>
          <w:p w14:paraId="0613065D">
            <w:pPr>
              <w:snapToGrid w:val="0"/>
              <w:spacing w:line="360" w:lineRule="exact"/>
              <w:jc w:val="left"/>
              <w:rPr>
                <w:rFonts w:ascii="宋体" w:hAnsi="宋体" w:cs="宋体"/>
                <w:szCs w:val="21"/>
              </w:rPr>
            </w:pPr>
            <w:r>
              <w:rPr>
                <w:rFonts w:hint="eastAsia" w:ascii="宋体" w:hAnsi="宋体" w:cs="宋体"/>
                <w:szCs w:val="21"/>
              </w:rPr>
              <w:t>（二）评分标准：</w:t>
            </w:r>
          </w:p>
          <w:p w14:paraId="1E0A6DCE">
            <w:pPr>
              <w:snapToGrid w:val="0"/>
              <w:spacing w:line="360" w:lineRule="exact"/>
              <w:jc w:val="left"/>
              <w:rPr>
                <w:rFonts w:ascii="宋体" w:hAnsi="宋体" w:cs="宋体"/>
                <w:szCs w:val="21"/>
              </w:rPr>
            </w:pPr>
            <w:r>
              <w:rPr>
                <w:rFonts w:hint="eastAsia" w:ascii="宋体" w:hAnsi="宋体" w:cs="宋体"/>
                <w:szCs w:val="21"/>
              </w:rPr>
              <w:t>满足以上三点要求得3分，满足任意两点得2分，满足任意一点得1分，其它不得分。</w:t>
            </w:r>
          </w:p>
          <w:p w14:paraId="328AED87">
            <w:pPr>
              <w:snapToGrid w:val="0"/>
              <w:spacing w:line="360" w:lineRule="exact"/>
              <w:jc w:val="left"/>
              <w:rPr>
                <w:rFonts w:ascii="宋体" w:hAnsi="宋体" w:cs="宋体"/>
                <w:szCs w:val="21"/>
              </w:rPr>
            </w:pPr>
            <w:r>
              <w:rPr>
                <w:rFonts w:hint="eastAsia" w:ascii="宋体" w:hAnsi="宋体" w:cs="宋体"/>
                <w:szCs w:val="21"/>
              </w:rPr>
              <w:t>在此基础上，评委根据各供应商的具体响应内容按照量化的评审因素指标进一步评审：</w:t>
            </w:r>
          </w:p>
          <w:p w14:paraId="3D86FCFC">
            <w:pPr>
              <w:snapToGrid w:val="0"/>
              <w:spacing w:line="360" w:lineRule="exact"/>
              <w:jc w:val="left"/>
              <w:rPr>
                <w:rFonts w:ascii="宋体" w:hAnsi="宋体" w:cs="宋体"/>
                <w:szCs w:val="21"/>
              </w:rPr>
            </w:pPr>
            <w:r>
              <w:rPr>
                <w:rFonts w:hint="eastAsia" w:ascii="宋体" w:hAnsi="宋体" w:cs="宋体"/>
                <w:szCs w:val="21"/>
              </w:rPr>
              <w:t>（1）供货方案（需包含：①供货计划；②供货流程；③供货质量管理；④供货信息管理）</w:t>
            </w:r>
          </w:p>
          <w:p w14:paraId="5ACAE751">
            <w:pPr>
              <w:snapToGrid w:val="0"/>
              <w:spacing w:line="360" w:lineRule="exact"/>
              <w:jc w:val="left"/>
              <w:rPr>
                <w:rFonts w:ascii="宋体" w:hAnsi="宋体" w:cs="宋体"/>
                <w:szCs w:val="21"/>
              </w:rPr>
            </w:pPr>
            <w:r>
              <w:rPr>
                <w:rFonts w:hint="eastAsia" w:ascii="宋体" w:hAnsi="宋体" w:cs="宋体"/>
                <w:szCs w:val="21"/>
              </w:rPr>
              <w:t>（2）</w:t>
            </w:r>
            <w:r>
              <w:rPr>
                <w:rFonts w:hint="eastAsia" w:ascii="宋体" w:hAnsi="宋体" w:cs="宋体"/>
                <w:szCs w:val="21"/>
                <w:lang w:eastAsia="zh-CN"/>
              </w:rPr>
              <w:t>设备</w:t>
            </w:r>
            <w:r>
              <w:rPr>
                <w:rFonts w:hint="eastAsia" w:ascii="宋体" w:hAnsi="宋体" w:cs="宋体"/>
                <w:szCs w:val="21"/>
              </w:rPr>
              <w:t>调试方案（需包含：①项目组织与管理方案；②</w:t>
            </w:r>
            <w:r>
              <w:rPr>
                <w:rFonts w:hint="eastAsia" w:ascii="宋体" w:hAnsi="宋体" w:cs="宋体"/>
                <w:szCs w:val="21"/>
                <w:lang w:eastAsia="zh-CN"/>
              </w:rPr>
              <w:t>设备</w:t>
            </w:r>
            <w:r>
              <w:rPr>
                <w:rFonts w:hint="eastAsia" w:ascii="宋体" w:hAnsi="宋体" w:cs="宋体"/>
                <w:szCs w:val="21"/>
              </w:rPr>
              <w:t>调试流程；③</w:t>
            </w:r>
            <w:r>
              <w:rPr>
                <w:rFonts w:hint="eastAsia" w:ascii="宋体" w:hAnsi="宋体" w:cs="宋体"/>
                <w:szCs w:val="21"/>
                <w:lang w:eastAsia="zh-CN"/>
              </w:rPr>
              <w:t>设备</w:t>
            </w:r>
            <w:r>
              <w:rPr>
                <w:rFonts w:hint="eastAsia" w:ascii="宋体" w:hAnsi="宋体" w:cs="宋体"/>
                <w:szCs w:val="21"/>
              </w:rPr>
              <w:t>调试相关安全措施）</w:t>
            </w:r>
          </w:p>
          <w:p w14:paraId="56727550">
            <w:pPr>
              <w:snapToGrid w:val="0"/>
              <w:spacing w:line="360" w:lineRule="exact"/>
              <w:jc w:val="left"/>
              <w:rPr>
                <w:rFonts w:ascii="宋体" w:hAnsi="宋体" w:cs="宋体"/>
                <w:szCs w:val="21"/>
              </w:rPr>
            </w:pPr>
            <w:r>
              <w:rPr>
                <w:rFonts w:hint="eastAsia" w:ascii="宋体" w:hAnsi="宋体" w:cs="宋体"/>
                <w:szCs w:val="21"/>
              </w:rPr>
              <w:t>（3）质量管理措施（需包含：①质量管理目标；②质量管理标准；③质量检测方案）</w:t>
            </w:r>
          </w:p>
          <w:p w14:paraId="1837CD7C">
            <w:pPr>
              <w:snapToGrid w:val="0"/>
              <w:spacing w:line="360" w:lineRule="exact"/>
              <w:jc w:val="left"/>
              <w:rPr>
                <w:rFonts w:ascii="宋体" w:hAnsi="宋体" w:cs="宋体"/>
                <w:szCs w:val="21"/>
              </w:rPr>
            </w:pPr>
            <w:r>
              <w:rPr>
                <w:rFonts w:hint="eastAsia" w:ascii="宋体" w:hAnsi="宋体" w:cs="宋体"/>
                <w:szCs w:val="21"/>
              </w:rPr>
              <w:t>满足以上三项内容的加3分，满足以上任意二项内容的加2分，满足以上任意一项内容的加1分，其他情况不加分。</w:t>
            </w:r>
          </w:p>
          <w:p w14:paraId="43879DFA">
            <w:pPr>
              <w:snapToGrid w:val="0"/>
              <w:spacing w:line="360" w:lineRule="exact"/>
              <w:jc w:val="left"/>
              <w:rPr>
                <w:rFonts w:ascii="宋体" w:hAnsi="宋体" w:cs="宋体"/>
                <w:szCs w:val="21"/>
              </w:rPr>
            </w:pPr>
            <w:r>
              <w:rPr>
                <w:rFonts w:hint="eastAsia" w:ascii="宋体" w:hAnsi="宋体" w:cs="宋体"/>
                <w:szCs w:val="21"/>
              </w:rPr>
              <w:t>如果不加分，要求评委书面说明理由，并记录在档。</w:t>
            </w:r>
          </w:p>
        </w:tc>
        <w:tc>
          <w:tcPr>
            <w:tcW w:w="1187" w:type="dxa"/>
            <w:vAlign w:val="center"/>
          </w:tcPr>
          <w:p w14:paraId="4905F763">
            <w:pPr>
              <w:tabs>
                <w:tab w:val="left" w:pos="426"/>
              </w:tabs>
              <w:snapToGrid w:val="0"/>
              <w:spacing w:line="360" w:lineRule="exact"/>
              <w:jc w:val="center"/>
              <w:rPr>
                <w:rFonts w:ascii="宋体" w:hAnsi="宋体" w:cs="宋体"/>
                <w:szCs w:val="21"/>
              </w:rPr>
            </w:pPr>
            <w:r>
              <w:rPr>
                <w:rFonts w:hint="eastAsia" w:ascii="宋体" w:hAnsi="宋体" w:cs="宋体"/>
                <w:szCs w:val="21"/>
              </w:rPr>
              <w:t>评委打分</w:t>
            </w:r>
          </w:p>
        </w:tc>
      </w:tr>
      <w:tr w14:paraId="459B4D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262EC106">
            <w:pPr>
              <w:widowControl/>
              <w:tabs>
                <w:tab w:val="left" w:pos="426"/>
              </w:tabs>
              <w:snapToGrid w:val="0"/>
              <w:spacing w:line="360" w:lineRule="exact"/>
              <w:jc w:val="center"/>
              <w:rPr>
                <w:rFonts w:ascii="宋体" w:hAnsi="宋体" w:cs="宋体"/>
                <w:szCs w:val="21"/>
              </w:rPr>
            </w:pPr>
            <w:r>
              <w:rPr>
                <w:rFonts w:hint="eastAsia" w:ascii="宋体" w:hAnsi="宋体" w:cs="宋体"/>
                <w:szCs w:val="21"/>
              </w:rPr>
              <w:t>3</w:t>
            </w:r>
          </w:p>
        </w:tc>
        <w:tc>
          <w:tcPr>
            <w:tcW w:w="1143" w:type="dxa"/>
            <w:vAlign w:val="center"/>
          </w:tcPr>
          <w:p w14:paraId="57B9C41C">
            <w:pPr>
              <w:widowControl/>
              <w:tabs>
                <w:tab w:val="left" w:pos="426"/>
              </w:tabs>
              <w:snapToGrid w:val="0"/>
              <w:spacing w:line="360" w:lineRule="exact"/>
              <w:jc w:val="center"/>
              <w:rPr>
                <w:rFonts w:ascii="宋体" w:hAnsi="宋体" w:cs="宋体"/>
                <w:szCs w:val="21"/>
              </w:rPr>
            </w:pPr>
            <w:r>
              <w:rPr>
                <w:rFonts w:hint="eastAsia" w:ascii="宋体" w:hAnsi="宋体" w:cs="宋体"/>
                <w:szCs w:val="21"/>
              </w:rPr>
              <w:t>售后服务方案</w:t>
            </w:r>
          </w:p>
        </w:tc>
        <w:tc>
          <w:tcPr>
            <w:tcW w:w="640" w:type="dxa"/>
            <w:vAlign w:val="center"/>
          </w:tcPr>
          <w:p w14:paraId="389E95F3">
            <w:pPr>
              <w:widowControl/>
              <w:tabs>
                <w:tab w:val="left" w:pos="426"/>
              </w:tabs>
              <w:snapToGrid w:val="0"/>
              <w:spacing w:line="360" w:lineRule="exact"/>
              <w:jc w:val="center"/>
              <w:rPr>
                <w:rFonts w:ascii="宋体" w:hAnsi="宋体" w:cs="宋体"/>
                <w:szCs w:val="21"/>
              </w:rPr>
            </w:pPr>
            <w:r>
              <w:rPr>
                <w:rFonts w:hint="eastAsia" w:ascii="宋体" w:hAnsi="宋体" w:cs="宋体"/>
                <w:szCs w:val="21"/>
              </w:rPr>
              <w:t>6</w:t>
            </w:r>
          </w:p>
        </w:tc>
        <w:tc>
          <w:tcPr>
            <w:tcW w:w="6022" w:type="dxa"/>
            <w:vAlign w:val="center"/>
          </w:tcPr>
          <w:p w14:paraId="079C5267">
            <w:pPr>
              <w:snapToGrid w:val="0"/>
              <w:spacing w:line="360" w:lineRule="exact"/>
              <w:jc w:val="left"/>
              <w:rPr>
                <w:rFonts w:ascii="宋体" w:hAnsi="宋体" w:cs="宋体"/>
                <w:szCs w:val="21"/>
              </w:rPr>
            </w:pPr>
            <w:r>
              <w:rPr>
                <w:rFonts w:hint="eastAsia" w:ascii="宋体" w:hAnsi="宋体" w:cs="宋体"/>
                <w:szCs w:val="21"/>
              </w:rPr>
              <w:t>（一）评分内容：</w:t>
            </w:r>
          </w:p>
          <w:p w14:paraId="16A1211A">
            <w:pPr>
              <w:snapToGrid w:val="0"/>
              <w:spacing w:line="360" w:lineRule="exact"/>
              <w:jc w:val="left"/>
              <w:rPr>
                <w:rFonts w:ascii="宋体" w:hAnsi="宋体" w:cs="宋体"/>
                <w:szCs w:val="21"/>
              </w:rPr>
            </w:pPr>
            <w:r>
              <w:rPr>
                <w:rFonts w:hint="eastAsia" w:ascii="宋体" w:hAnsi="宋体" w:cs="宋体"/>
                <w:szCs w:val="21"/>
              </w:rPr>
              <w:t>投标人提供售后服务方案，包含以下内容：</w:t>
            </w:r>
          </w:p>
          <w:p w14:paraId="6273AF8B">
            <w:pPr>
              <w:snapToGrid w:val="0"/>
              <w:spacing w:line="360" w:lineRule="exact"/>
              <w:jc w:val="left"/>
              <w:rPr>
                <w:rFonts w:ascii="宋体" w:hAnsi="宋体" w:cs="宋体"/>
                <w:szCs w:val="21"/>
              </w:rPr>
            </w:pPr>
            <w:r>
              <w:rPr>
                <w:rFonts w:hint="eastAsia" w:ascii="宋体" w:hAnsi="宋体" w:cs="宋体"/>
                <w:szCs w:val="21"/>
              </w:rPr>
              <w:t>（1）售后服务机构及维护人员配置；</w:t>
            </w:r>
          </w:p>
          <w:p w14:paraId="52F70AF0">
            <w:pPr>
              <w:snapToGrid w:val="0"/>
              <w:spacing w:line="360" w:lineRule="exact"/>
              <w:jc w:val="left"/>
              <w:rPr>
                <w:rFonts w:ascii="宋体" w:hAnsi="宋体" w:cs="宋体"/>
                <w:szCs w:val="21"/>
              </w:rPr>
            </w:pPr>
            <w:r>
              <w:rPr>
                <w:rFonts w:hint="eastAsia" w:ascii="宋体" w:hAnsi="宋体" w:cs="宋体"/>
                <w:szCs w:val="21"/>
              </w:rPr>
              <w:t>（2）维修维护方案；</w:t>
            </w:r>
          </w:p>
          <w:p w14:paraId="35565667">
            <w:pPr>
              <w:snapToGrid w:val="0"/>
              <w:spacing w:line="360" w:lineRule="exact"/>
              <w:jc w:val="left"/>
              <w:rPr>
                <w:rFonts w:ascii="宋体" w:hAnsi="宋体" w:cs="宋体"/>
                <w:szCs w:val="21"/>
              </w:rPr>
            </w:pPr>
            <w:r>
              <w:rPr>
                <w:rFonts w:hint="eastAsia" w:ascii="宋体" w:hAnsi="宋体" w:cs="宋体"/>
                <w:szCs w:val="21"/>
              </w:rPr>
              <w:t>（3）技术培训方案。</w:t>
            </w:r>
          </w:p>
          <w:p w14:paraId="0AA08DA7">
            <w:pPr>
              <w:snapToGrid w:val="0"/>
              <w:spacing w:line="360" w:lineRule="exact"/>
              <w:jc w:val="left"/>
              <w:rPr>
                <w:rFonts w:ascii="宋体" w:hAnsi="宋体" w:cs="宋体"/>
                <w:szCs w:val="21"/>
              </w:rPr>
            </w:pPr>
            <w:r>
              <w:rPr>
                <w:rFonts w:hint="eastAsia" w:ascii="宋体" w:hAnsi="宋体" w:cs="宋体"/>
                <w:szCs w:val="21"/>
              </w:rPr>
              <w:t>（二）评分标准：</w:t>
            </w:r>
          </w:p>
          <w:p w14:paraId="080B823F">
            <w:pPr>
              <w:snapToGrid w:val="0"/>
              <w:spacing w:line="360" w:lineRule="exact"/>
              <w:jc w:val="left"/>
              <w:rPr>
                <w:rFonts w:ascii="宋体" w:hAnsi="宋体" w:cs="宋体"/>
                <w:szCs w:val="21"/>
              </w:rPr>
            </w:pPr>
            <w:r>
              <w:rPr>
                <w:rFonts w:hint="eastAsia" w:ascii="宋体" w:hAnsi="宋体" w:cs="宋体"/>
                <w:szCs w:val="21"/>
              </w:rPr>
              <w:t>满足以上三点要求得3分，满足任意两点得2分，满足任意一点得1分，其它不得分。</w:t>
            </w:r>
          </w:p>
          <w:p w14:paraId="3715DA82">
            <w:pPr>
              <w:snapToGrid w:val="0"/>
              <w:spacing w:line="360" w:lineRule="exact"/>
              <w:jc w:val="left"/>
              <w:rPr>
                <w:rFonts w:ascii="宋体" w:hAnsi="宋体" w:cs="宋体"/>
                <w:szCs w:val="21"/>
              </w:rPr>
            </w:pPr>
            <w:r>
              <w:rPr>
                <w:rFonts w:hint="eastAsia" w:ascii="宋体" w:hAnsi="宋体" w:cs="宋体"/>
                <w:szCs w:val="21"/>
              </w:rPr>
              <w:t>在此基础上，评委根据各供应商的具体响应内容按照量化的评审因素指标进一步评审：</w:t>
            </w:r>
          </w:p>
          <w:p w14:paraId="7DF21AD9">
            <w:pPr>
              <w:snapToGrid w:val="0"/>
              <w:spacing w:line="360" w:lineRule="exact"/>
              <w:jc w:val="left"/>
              <w:rPr>
                <w:rFonts w:ascii="宋体" w:hAnsi="宋体" w:cs="宋体"/>
                <w:szCs w:val="21"/>
              </w:rPr>
            </w:pPr>
            <w:r>
              <w:rPr>
                <w:rFonts w:hint="eastAsia" w:ascii="宋体" w:hAnsi="宋体" w:cs="宋体"/>
                <w:szCs w:val="21"/>
              </w:rPr>
              <w:t>（1）售后服务机构及维护人员配置（需包含：①售后服务机构配置情况；②售后人员配备计划）</w:t>
            </w:r>
          </w:p>
          <w:p w14:paraId="3BFEA254">
            <w:pPr>
              <w:snapToGrid w:val="0"/>
              <w:spacing w:line="360" w:lineRule="exact"/>
              <w:jc w:val="left"/>
              <w:rPr>
                <w:rFonts w:ascii="宋体" w:hAnsi="宋体" w:cs="宋体"/>
                <w:szCs w:val="21"/>
              </w:rPr>
            </w:pPr>
            <w:r>
              <w:rPr>
                <w:rFonts w:hint="eastAsia" w:ascii="宋体" w:hAnsi="宋体" w:cs="宋体"/>
                <w:szCs w:val="21"/>
              </w:rPr>
              <w:t>（2）维修保养服务内容（需包含：①日常保养方案；②定期保养方案；③维修工具和设备；④备品备件支持计划）</w:t>
            </w:r>
          </w:p>
          <w:p w14:paraId="0F44FD86">
            <w:pPr>
              <w:snapToGrid w:val="0"/>
              <w:spacing w:line="360" w:lineRule="exact"/>
              <w:jc w:val="left"/>
              <w:rPr>
                <w:rFonts w:ascii="宋体" w:hAnsi="宋体" w:cs="宋体"/>
                <w:szCs w:val="21"/>
              </w:rPr>
            </w:pPr>
            <w:r>
              <w:rPr>
                <w:rFonts w:hint="eastAsia" w:ascii="宋体" w:hAnsi="宋体" w:cs="宋体"/>
                <w:szCs w:val="21"/>
              </w:rPr>
              <w:t>（3）技术培训方案（需包含：①培训目标；②培训内容 ；③培训方式；④培训周期及效果）</w:t>
            </w:r>
          </w:p>
          <w:p w14:paraId="09B61E28">
            <w:pPr>
              <w:snapToGrid w:val="0"/>
              <w:spacing w:line="360" w:lineRule="exact"/>
              <w:jc w:val="left"/>
              <w:rPr>
                <w:rFonts w:ascii="宋体" w:hAnsi="宋体" w:cs="宋体"/>
                <w:szCs w:val="21"/>
              </w:rPr>
            </w:pPr>
            <w:r>
              <w:rPr>
                <w:rFonts w:hint="eastAsia" w:ascii="宋体" w:hAnsi="宋体" w:cs="宋体"/>
                <w:szCs w:val="21"/>
              </w:rPr>
              <w:t>满足以上三项内容的加3分，满足以上任意二项内容的加2分，满足以上任意一项内容的加1分，其他情况不加分。</w:t>
            </w:r>
          </w:p>
          <w:p w14:paraId="2218E50B">
            <w:pPr>
              <w:shd w:val="clear" w:color="auto" w:fill="FFFFFF"/>
              <w:tabs>
                <w:tab w:val="left" w:pos="426"/>
              </w:tabs>
              <w:snapToGrid w:val="0"/>
              <w:spacing w:line="360" w:lineRule="exact"/>
              <w:jc w:val="left"/>
              <w:rPr>
                <w:rFonts w:ascii="宋体" w:hAnsi="宋体" w:cs="宋体"/>
                <w:szCs w:val="21"/>
              </w:rPr>
            </w:pPr>
            <w:r>
              <w:rPr>
                <w:rFonts w:hint="eastAsia" w:ascii="宋体" w:hAnsi="宋体" w:cs="宋体"/>
                <w:szCs w:val="21"/>
              </w:rPr>
              <w:t>如果不加分，要求评委书面说明理由，并记录在档。</w:t>
            </w:r>
          </w:p>
        </w:tc>
        <w:tc>
          <w:tcPr>
            <w:tcW w:w="1187" w:type="dxa"/>
            <w:vAlign w:val="center"/>
          </w:tcPr>
          <w:p w14:paraId="08447D5C">
            <w:pPr>
              <w:tabs>
                <w:tab w:val="left" w:pos="426"/>
              </w:tabs>
              <w:snapToGrid w:val="0"/>
              <w:spacing w:line="360" w:lineRule="exact"/>
              <w:jc w:val="center"/>
              <w:rPr>
                <w:rFonts w:ascii="宋体" w:hAnsi="宋体" w:cs="宋体"/>
                <w:szCs w:val="21"/>
              </w:rPr>
            </w:pPr>
            <w:r>
              <w:rPr>
                <w:rFonts w:hint="eastAsia" w:ascii="宋体" w:hAnsi="宋体" w:cs="宋体"/>
                <w:szCs w:val="21"/>
              </w:rPr>
              <w:t>评委打分</w:t>
            </w:r>
          </w:p>
        </w:tc>
      </w:tr>
      <w:tr w14:paraId="06C9DF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31E676B">
            <w:pPr>
              <w:tabs>
                <w:tab w:val="left" w:pos="426"/>
              </w:tabs>
              <w:autoSpaceDE w:val="0"/>
              <w:autoSpaceDN w:val="0"/>
              <w:adjustRightInd w:val="0"/>
              <w:snapToGrid w:val="0"/>
              <w:spacing w:line="360" w:lineRule="exact"/>
              <w:jc w:val="center"/>
              <w:rPr>
                <w:rFonts w:ascii="宋体" w:hAnsi="宋体" w:cs="宋体"/>
                <w:b/>
                <w:bCs/>
                <w:szCs w:val="21"/>
              </w:rPr>
            </w:pPr>
            <w:r>
              <w:rPr>
                <w:rFonts w:hint="eastAsia" w:ascii="宋体" w:hAnsi="宋体" w:cs="宋体"/>
                <w:b/>
                <w:bCs/>
                <w:szCs w:val="21"/>
              </w:rPr>
              <w:t>三、商务部分</w:t>
            </w:r>
          </w:p>
        </w:tc>
        <w:tc>
          <w:tcPr>
            <w:tcW w:w="1187" w:type="dxa"/>
            <w:vAlign w:val="center"/>
          </w:tcPr>
          <w:p w14:paraId="50E3A55E">
            <w:pPr>
              <w:tabs>
                <w:tab w:val="left" w:pos="426"/>
              </w:tabs>
              <w:autoSpaceDE w:val="0"/>
              <w:autoSpaceDN w:val="0"/>
              <w:adjustRightInd w:val="0"/>
              <w:snapToGrid w:val="0"/>
              <w:spacing w:line="360" w:lineRule="exact"/>
              <w:jc w:val="center"/>
              <w:rPr>
                <w:rFonts w:ascii="宋体" w:hAnsi="宋体" w:cs="宋体"/>
                <w:b/>
                <w:bCs/>
                <w:szCs w:val="21"/>
              </w:rPr>
            </w:pPr>
            <w:r>
              <w:rPr>
                <w:rFonts w:hint="eastAsia" w:ascii="宋体" w:hAnsi="宋体" w:cs="宋体"/>
                <w:b/>
                <w:bCs/>
                <w:szCs w:val="21"/>
              </w:rPr>
              <w:t>10</w:t>
            </w:r>
          </w:p>
        </w:tc>
      </w:tr>
      <w:tr w14:paraId="7C2EE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0B342FCE">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序号</w:t>
            </w:r>
          </w:p>
        </w:tc>
        <w:tc>
          <w:tcPr>
            <w:tcW w:w="1143" w:type="dxa"/>
            <w:vAlign w:val="center"/>
          </w:tcPr>
          <w:p w14:paraId="1CBE6672">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内容</w:t>
            </w:r>
          </w:p>
        </w:tc>
        <w:tc>
          <w:tcPr>
            <w:tcW w:w="640" w:type="dxa"/>
            <w:vAlign w:val="center"/>
          </w:tcPr>
          <w:p w14:paraId="400E02A5">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权重</w:t>
            </w:r>
          </w:p>
        </w:tc>
        <w:tc>
          <w:tcPr>
            <w:tcW w:w="6022" w:type="dxa"/>
            <w:vAlign w:val="center"/>
          </w:tcPr>
          <w:p w14:paraId="176C51E0">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评分规则</w:t>
            </w:r>
          </w:p>
        </w:tc>
        <w:tc>
          <w:tcPr>
            <w:tcW w:w="1187" w:type="dxa"/>
            <w:vAlign w:val="center"/>
          </w:tcPr>
          <w:p w14:paraId="1C52397F">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评分方式</w:t>
            </w:r>
          </w:p>
        </w:tc>
      </w:tr>
      <w:tr w14:paraId="29F80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130" w:hRule="atLeast"/>
          <w:jc w:val="center"/>
        </w:trPr>
        <w:tc>
          <w:tcPr>
            <w:tcW w:w="754" w:type="dxa"/>
            <w:vAlign w:val="center"/>
          </w:tcPr>
          <w:p w14:paraId="6F127474">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1</w:t>
            </w:r>
          </w:p>
        </w:tc>
        <w:tc>
          <w:tcPr>
            <w:tcW w:w="1143" w:type="dxa"/>
            <w:vAlign w:val="center"/>
          </w:tcPr>
          <w:p w14:paraId="06876AF4">
            <w:pPr>
              <w:widowControl/>
              <w:tabs>
                <w:tab w:val="left" w:pos="426"/>
              </w:tabs>
              <w:snapToGrid w:val="0"/>
              <w:spacing w:line="360" w:lineRule="exact"/>
              <w:jc w:val="center"/>
              <w:rPr>
                <w:rFonts w:ascii="宋体" w:hAnsi="宋体" w:cs="宋体"/>
                <w:szCs w:val="21"/>
              </w:rPr>
            </w:pPr>
            <w:r>
              <w:rPr>
                <w:rFonts w:hint="eastAsia" w:ascii="宋体" w:hAnsi="宋体" w:cs="宋体"/>
                <w:szCs w:val="21"/>
              </w:rPr>
              <w:t>商务需求条款偏离情况</w:t>
            </w:r>
          </w:p>
        </w:tc>
        <w:tc>
          <w:tcPr>
            <w:tcW w:w="640" w:type="dxa"/>
            <w:vAlign w:val="center"/>
          </w:tcPr>
          <w:p w14:paraId="1548AE69">
            <w:pPr>
              <w:widowControl/>
              <w:tabs>
                <w:tab w:val="left" w:pos="426"/>
              </w:tabs>
              <w:snapToGrid w:val="0"/>
              <w:spacing w:line="360" w:lineRule="exact"/>
              <w:jc w:val="center"/>
              <w:rPr>
                <w:rFonts w:ascii="宋体" w:hAnsi="宋体" w:cs="宋体"/>
                <w:szCs w:val="21"/>
              </w:rPr>
            </w:pPr>
            <w:r>
              <w:rPr>
                <w:rFonts w:hint="eastAsia" w:ascii="宋体" w:hAnsi="宋体" w:cs="宋体"/>
                <w:szCs w:val="21"/>
              </w:rPr>
              <w:t>2</w:t>
            </w:r>
          </w:p>
        </w:tc>
        <w:tc>
          <w:tcPr>
            <w:tcW w:w="6022" w:type="dxa"/>
            <w:vAlign w:val="center"/>
          </w:tcPr>
          <w:p w14:paraId="020304ED">
            <w:pPr>
              <w:pStyle w:val="96"/>
              <w:tabs>
                <w:tab w:val="left" w:pos="426"/>
              </w:tabs>
              <w:snapToGrid w:val="0"/>
              <w:rPr>
                <w:rFonts w:ascii="宋体" w:hAnsi="宋体" w:eastAsia="宋体"/>
                <w:b w:val="0"/>
                <w:bCs w:val="0"/>
              </w:rPr>
            </w:pPr>
            <w:r>
              <w:rPr>
                <w:rFonts w:hint="eastAsia" w:ascii="宋体" w:hAnsi="宋体" w:eastAsia="宋体"/>
                <w:b w:val="0"/>
                <w:bCs w:val="0"/>
              </w:rPr>
              <w:t>投标人应如实填写《商务条款偏离表》，评审委员会根据服务条款响应情况进行评审：</w:t>
            </w:r>
          </w:p>
          <w:p w14:paraId="233D0B09">
            <w:pPr>
              <w:pStyle w:val="96"/>
              <w:tabs>
                <w:tab w:val="left" w:pos="426"/>
              </w:tabs>
              <w:snapToGrid w:val="0"/>
              <w:rPr>
                <w:rFonts w:ascii="宋体" w:hAnsi="宋体" w:eastAsia="宋体"/>
              </w:rPr>
            </w:pPr>
            <w:r>
              <w:rPr>
                <w:rFonts w:hint="eastAsia" w:ascii="宋体" w:hAnsi="宋体" w:eastAsia="宋体"/>
                <w:b w:val="0"/>
                <w:bCs w:val="0"/>
              </w:rPr>
              <w:t>完全满足招标文件商务要求，应答完整的得2分；“★”为不可偏离条款；以此为基础，投标人的商务响应负偏离招标文件商务要求的（共</w:t>
            </w:r>
            <w:r>
              <w:rPr>
                <w:rFonts w:hint="eastAsia" w:ascii="宋体" w:hAnsi="宋体" w:eastAsia="宋体"/>
                <w:b w:val="0"/>
                <w:bCs w:val="0"/>
                <w:lang w:val="en-US" w:eastAsia="zh-CN"/>
              </w:rPr>
              <w:t>4</w:t>
            </w:r>
            <w:r>
              <w:rPr>
                <w:rFonts w:hint="eastAsia" w:ascii="宋体" w:hAnsi="宋体" w:eastAsia="宋体"/>
                <w:b w:val="0"/>
                <w:bCs w:val="0"/>
              </w:rPr>
              <w:t>大项），每一项扣0.</w:t>
            </w:r>
            <w:r>
              <w:rPr>
                <w:rFonts w:hint="eastAsia" w:ascii="宋体" w:hAnsi="宋体" w:eastAsia="宋体"/>
                <w:b w:val="0"/>
                <w:bCs w:val="0"/>
                <w:lang w:val="en-US" w:eastAsia="zh-CN"/>
              </w:rPr>
              <w:t>5</w:t>
            </w:r>
            <w:r>
              <w:rPr>
                <w:rFonts w:hint="eastAsia" w:ascii="宋体" w:hAnsi="宋体" w:eastAsia="宋体"/>
                <w:b w:val="0"/>
                <w:bCs w:val="0"/>
              </w:rPr>
              <w:t>分。本项最低得0分。</w:t>
            </w:r>
          </w:p>
        </w:tc>
        <w:tc>
          <w:tcPr>
            <w:tcW w:w="1187" w:type="dxa"/>
            <w:vAlign w:val="center"/>
          </w:tcPr>
          <w:p w14:paraId="235113D3">
            <w:pPr>
              <w:tabs>
                <w:tab w:val="left" w:pos="426"/>
              </w:tabs>
              <w:snapToGrid w:val="0"/>
              <w:spacing w:line="360" w:lineRule="exact"/>
              <w:jc w:val="center"/>
              <w:rPr>
                <w:rFonts w:ascii="宋体" w:hAnsi="宋体" w:cs="宋体"/>
                <w:szCs w:val="21"/>
              </w:rPr>
            </w:pPr>
            <w:r>
              <w:rPr>
                <w:rFonts w:hint="eastAsia" w:ascii="宋体" w:hAnsi="宋体" w:cs="宋体"/>
                <w:szCs w:val="21"/>
              </w:rPr>
              <w:t>评委打分</w:t>
            </w:r>
          </w:p>
        </w:tc>
      </w:tr>
      <w:tr w14:paraId="028A3D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4B14A0DA">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2</w:t>
            </w:r>
          </w:p>
        </w:tc>
        <w:tc>
          <w:tcPr>
            <w:tcW w:w="1143" w:type="dxa"/>
            <w:vAlign w:val="center"/>
          </w:tcPr>
          <w:p w14:paraId="5FA66C21">
            <w:pPr>
              <w:tabs>
                <w:tab w:val="left" w:pos="426"/>
              </w:tabs>
              <w:snapToGrid w:val="0"/>
              <w:spacing w:line="360" w:lineRule="exact"/>
              <w:jc w:val="center"/>
              <w:rPr>
                <w:rFonts w:ascii="宋体" w:hAnsi="宋体" w:cs="宋体"/>
                <w:szCs w:val="21"/>
              </w:rPr>
            </w:pPr>
            <w:r>
              <w:rPr>
                <w:rFonts w:hint="eastAsia" w:ascii="宋体" w:hAnsi="宋体" w:cs="宋体"/>
                <w:szCs w:val="21"/>
              </w:rPr>
              <w:t>同类项目业绩情况</w:t>
            </w:r>
          </w:p>
        </w:tc>
        <w:tc>
          <w:tcPr>
            <w:tcW w:w="640" w:type="dxa"/>
            <w:vAlign w:val="center"/>
          </w:tcPr>
          <w:p w14:paraId="5CF26C22">
            <w:pPr>
              <w:tabs>
                <w:tab w:val="left" w:pos="426"/>
              </w:tabs>
              <w:snapToGrid w:val="0"/>
              <w:spacing w:line="360" w:lineRule="exact"/>
              <w:jc w:val="center"/>
              <w:rPr>
                <w:rFonts w:ascii="宋体" w:hAnsi="宋体" w:cs="宋体"/>
                <w:szCs w:val="21"/>
              </w:rPr>
            </w:pPr>
            <w:r>
              <w:rPr>
                <w:rFonts w:hint="eastAsia" w:ascii="宋体" w:hAnsi="宋体" w:cs="宋体"/>
                <w:szCs w:val="21"/>
              </w:rPr>
              <w:t>5</w:t>
            </w:r>
          </w:p>
        </w:tc>
        <w:tc>
          <w:tcPr>
            <w:tcW w:w="6022" w:type="dxa"/>
            <w:vAlign w:val="center"/>
          </w:tcPr>
          <w:p w14:paraId="18A4C5F1">
            <w:pPr>
              <w:pStyle w:val="96"/>
              <w:tabs>
                <w:tab w:val="left" w:pos="426"/>
              </w:tabs>
              <w:snapToGrid w:val="0"/>
              <w:rPr>
                <w:rFonts w:ascii="宋体" w:hAnsi="宋体" w:eastAsia="宋体"/>
              </w:rPr>
            </w:pPr>
            <w:r>
              <w:rPr>
                <w:rFonts w:hint="eastAsia" w:ascii="宋体" w:hAnsi="宋体" w:eastAsia="宋体"/>
              </w:rPr>
              <w:t>（一）评分内容：</w:t>
            </w:r>
          </w:p>
          <w:p w14:paraId="7481A354">
            <w:pPr>
              <w:widowControl/>
              <w:tabs>
                <w:tab w:val="left" w:pos="426"/>
              </w:tabs>
              <w:snapToGrid w:val="0"/>
              <w:spacing w:line="360" w:lineRule="exact"/>
              <w:rPr>
                <w:rFonts w:ascii="宋体" w:hAnsi="宋体" w:cs="宋体"/>
                <w:szCs w:val="21"/>
              </w:rPr>
            </w:pPr>
            <w:r>
              <w:rPr>
                <w:rFonts w:hint="eastAsia" w:ascii="宋体" w:hAnsi="宋体" w:cs="宋体"/>
                <w:szCs w:val="21"/>
              </w:rPr>
              <w:t>自2023年2月1日至本项目投标截止日（以合同签订日期为准），投标人具有所投产品销售业绩的，每提供1个项目得1分，最高得5分。</w:t>
            </w:r>
          </w:p>
          <w:p w14:paraId="31551222">
            <w:pPr>
              <w:tabs>
                <w:tab w:val="left" w:pos="426"/>
              </w:tabs>
              <w:autoSpaceDE w:val="0"/>
              <w:autoSpaceDN w:val="0"/>
              <w:adjustRightInd w:val="0"/>
              <w:snapToGrid w:val="0"/>
              <w:spacing w:line="360" w:lineRule="exact"/>
              <w:jc w:val="left"/>
              <w:rPr>
                <w:rFonts w:ascii="宋体" w:hAnsi="宋体" w:cs="宋体"/>
                <w:szCs w:val="21"/>
              </w:rPr>
            </w:pPr>
            <w:r>
              <w:rPr>
                <w:rFonts w:hint="eastAsia" w:ascii="宋体" w:hAnsi="宋体" w:cs="宋体"/>
                <w:szCs w:val="21"/>
              </w:rPr>
              <w:t>（二）评分依据：</w:t>
            </w:r>
          </w:p>
          <w:p w14:paraId="09CEF689">
            <w:pPr>
              <w:tabs>
                <w:tab w:val="left" w:pos="426"/>
              </w:tabs>
              <w:adjustRightInd w:val="0"/>
              <w:snapToGrid w:val="0"/>
              <w:spacing w:line="360" w:lineRule="exact"/>
              <w:rPr>
                <w:rFonts w:ascii="宋体" w:hAnsi="宋体" w:cs="宋体"/>
                <w:szCs w:val="21"/>
              </w:rPr>
            </w:pPr>
            <w:r>
              <w:rPr>
                <w:rFonts w:hint="eastAsia" w:ascii="宋体" w:hAnsi="宋体" w:cs="宋体"/>
                <w:szCs w:val="21"/>
              </w:rPr>
              <w:t>1.提供合同关键页（须包含合同标的、合同双方盖章页、合同金额、合同签订日期）且各项信息不得有任何遮挡，同时提供收款证明凭证；</w:t>
            </w:r>
          </w:p>
          <w:p w14:paraId="19044B8E">
            <w:pPr>
              <w:widowControl/>
              <w:tabs>
                <w:tab w:val="left" w:pos="426"/>
              </w:tabs>
              <w:snapToGrid w:val="0"/>
              <w:spacing w:line="360" w:lineRule="exact"/>
              <w:rPr>
                <w:rFonts w:ascii="宋体" w:hAnsi="宋体" w:cs="宋体"/>
                <w:szCs w:val="21"/>
              </w:rPr>
            </w:pPr>
            <w:r>
              <w:rPr>
                <w:rFonts w:hint="eastAsia" w:ascii="宋体" w:hAnsi="宋体" w:cs="宋体"/>
                <w:szCs w:val="21"/>
              </w:rPr>
              <w:t>2.以上证明文件均提供复印件或扫描件加盖投标人公章。未按要求提供有效证明材料或提供不清晰导致评委无法识别的不计得分。</w:t>
            </w:r>
          </w:p>
        </w:tc>
        <w:tc>
          <w:tcPr>
            <w:tcW w:w="1187" w:type="dxa"/>
            <w:vAlign w:val="center"/>
          </w:tcPr>
          <w:p w14:paraId="33EF2291">
            <w:pPr>
              <w:tabs>
                <w:tab w:val="left" w:pos="426"/>
              </w:tabs>
              <w:snapToGrid w:val="0"/>
              <w:spacing w:line="360" w:lineRule="exact"/>
              <w:jc w:val="center"/>
              <w:rPr>
                <w:rFonts w:ascii="宋体" w:hAnsi="宋体" w:cs="宋体"/>
                <w:szCs w:val="21"/>
              </w:rPr>
            </w:pPr>
            <w:r>
              <w:rPr>
                <w:rFonts w:hint="eastAsia" w:ascii="宋体" w:hAnsi="宋体" w:cs="宋体"/>
                <w:szCs w:val="21"/>
              </w:rPr>
              <w:t>评委打分</w:t>
            </w:r>
          </w:p>
        </w:tc>
      </w:tr>
      <w:tr w14:paraId="09D2C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F9654F3">
            <w:pPr>
              <w:tabs>
                <w:tab w:val="left" w:pos="426"/>
              </w:tabs>
              <w:autoSpaceDE w:val="0"/>
              <w:autoSpaceDN w:val="0"/>
              <w:adjustRightInd w:val="0"/>
              <w:snapToGrid w:val="0"/>
              <w:spacing w:line="360" w:lineRule="exact"/>
              <w:jc w:val="center"/>
              <w:rPr>
                <w:rFonts w:ascii="宋体" w:hAnsi="宋体" w:cs="宋体"/>
                <w:szCs w:val="21"/>
              </w:rPr>
            </w:pPr>
            <w:r>
              <w:rPr>
                <w:rFonts w:hint="eastAsia" w:ascii="宋体" w:hAnsi="宋体" w:cs="宋体"/>
                <w:szCs w:val="21"/>
              </w:rPr>
              <w:t>3</w:t>
            </w:r>
          </w:p>
        </w:tc>
        <w:tc>
          <w:tcPr>
            <w:tcW w:w="1143" w:type="dxa"/>
            <w:vAlign w:val="center"/>
          </w:tcPr>
          <w:p w14:paraId="6D58B614">
            <w:pPr>
              <w:tabs>
                <w:tab w:val="left" w:pos="426"/>
              </w:tabs>
              <w:snapToGrid w:val="0"/>
              <w:spacing w:line="360" w:lineRule="exact"/>
              <w:jc w:val="center"/>
              <w:rPr>
                <w:rFonts w:ascii="宋体" w:hAnsi="宋体" w:cs="宋体"/>
                <w:szCs w:val="21"/>
              </w:rPr>
            </w:pPr>
            <w:r>
              <w:rPr>
                <w:rFonts w:hint="eastAsia" w:ascii="宋体" w:hAnsi="宋体" w:cs="宋体"/>
                <w:szCs w:val="21"/>
              </w:rPr>
              <w:t>相关认证情况</w:t>
            </w:r>
          </w:p>
        </w:tc>
        <w:tc>
          <w:tcPr>
            <w:tcW w:w="640" w:type="dxa"/>
            <w:vAlign w:val="center"/>
          </w:tcPr>
          <w:p w14:paraId="2F2C717E">
            <w:pPr>
              <w:tabs>
                <w:tab w:val="left" w:pos="426"/>
              </w:tabs>
              <w:snapToGrid w:val="0"/>
              <w:spacing w:line="360" w:lineRule="exact"/>
              <w:jc w:val="center"/>
              <w:rPr>
                <w:rFonts w:ascii="宋体" w:hAnsi="宋体" w:cs="宋体"/>
                <w:szCs w:val="21"/>
              </w:rPr>
            </w:pPr>
            <w:r>
              <w:rPr>
                <w:rFonts w:hint="eastAsia" w:ascii="宋体" w:hAnsi="宋体" w:cs="宋体"/>
                <w:szCs w:val="21"/>
              </w:rPr>
              <w:t>3</w:t>
            </w:r>
          </w:p>
        </w:tc>
        <w:tc>
          <w:tcPr>
            <w:tcW w:w="6022" w:type="dxa"/>
            <w:vAlign w:val="center"/>
          </w:tcPr>
          <w:p w14:paraId="040D883F">
            <w:pPr>
              <w:pStyle w:val="96"/>
              <w:tabs>
                <w:tab w:val="left" w:pos="426"/>
              </w:tabs>
              <w:snapToGrid w:val="0"/>
              <w:rPr>
                <w:rFonts w:ascii="宋体" w:hAnsi="宋体" w:eastAsia="宋体"/>
              </w:rPr>
            </w:pPr>
            <w:r>
              <w:rPr>
                <w:rFonts w:hint="eastAsia" w:ascii="宋体" w:hAnsi="宋体" w:eastAsia="宋体"/>
              </w:rPr>
              <w:t>（一）评分内容：</w:t>
            </w:r>
          </w:p>
          <w:p w14:paraId="310BBD45">
            <w:pPr>
              <w:tabs>
                <w:tab w:val="left" w:pos="426"/>
              </w:tabs>
              <w:autoSpaceDE w:val="0"/>
              <w:autoSpaceDN w:val="0"/>
              <w:snapToGrid w:val="0"/>
              <w:spacing w:line="360" w:lineRule="exact"/>
              <w:jc w:val="left"/>
              <w:rPr>
                <w:rFonts w:ascii="宋体" w:hAnsi="宋体" w:cs="宋体"/>
                <w:szCs w:val="21"/>
              </w:rPr>
            </w:pPr>
            <w:r>
              <w:rPr>
                <w:rFonts w:hint="eastAsia" w:ascii="宋体" w:hAnsi="宋体" w:cs="宋体"/>
                <w:szCs w:val="21"/>
              </w:rPr>
              <w:t>所投产品生产厂家具有质量管理体系认证证书、环境管理体系认证证书、职业健康安全管理体系认证证书，每提供1个有效认证证书得1分，最高得3分。</w:t>
            </w:r>
          </w:p>
          <w:p w14:paraId="37F9166B">
            <w:pPr>
              <w:tabs>
                <w:tab w:val="left" w:pos="426"/>
              </w:tabs>
              <w:autoSpaceDE w:val="0"/>
              <w:autoSpaceDN w:val="0"/>
              <w:snapToGrid w:val="0"/>
              <w:spacing w:line="360" w:lineRule="exact"/>
              <w:jc w:val="left"/>
              <w:rPr>
                <w:rFonts w:ascii="宋体" w:hAnsi="宋体" w:cs="宋体"/>
                <w:szCs w:val="21"/>
              </w:rPr>
            </w:pPr>
            <w:r>
              <w:rPr>
                <w:rFonts w:hint="eastAsia" w:ascii="宋体" w:hAnsi="宋体" w:cs="宋体"/>
                <w:szCs w:val="21"/>
              </w:rPr>
              <w:t>（二）评分依据：</w:t>
            </w:r>
          </w:p>
          <w:p w14:paraId="6C1AAEC5">
            <w:pPr>
              <w:widowControl/>
              <w:tabs>
                <w:tab w:val="left" w:pos="426"/>
              </w:tabs>
              <w:snapToGrid w:val="0"/>
              <w:spacing w:line="360" w:lineRule="exact"/>
              <w:rPr>
                <w:rFonts w:ascii="宋体" w:hAnsi="宋体" w:cs="宋体"/>
                <w:szCs w:val="21"/>
              </w:rPr>
            </w:pPr>
            <w:r>
              <w:rPr>
                <w:rFonts w:hint="eastAsia" w:ascii="宋体" w:hAnsi="宋体" w:cs="宋体"/>
                <w:szCs w:val="21"/>
              </w:rPr>
              <w:t>1.提供有效的认证证书复印件以及该证书在全国认证认可信息公共服务平台(http://cx.cnca.cn/)查询的截图(证书编号一致且显示为“有效”状态的截图)作为得分依据；</w:t>
            </w:r>
          </w:p>
          <w:p w14:paraId="462162EB">
            <w:pPr>
              <w:widowControl/>
              <w:tabs>
                <w:tab w:val="left" w:pos="426"/>
              </w:tabs>
              <w:snapToGrid w:val="0"/>
              <w:spacing w:line="360" w:lineRule="exact"/>
              <w:rPr>
                <w:rFonts w:ascii="宋体" w:hAnsi="宋体" w:cs="宋体"/>
                <w:szCs w:val="21"/>
              </w:rPr>
            </w:pPr>
            <w:r>
              <w:rPr>
                <w:rFonts w:hint="eastAsia" w:ascii="宋体" w:hAnsi="宋体" w:cs="宋体"/>
                <w:szCs w:val="21"/>
              </w:rPr>
              <w:t>2.投标人成立不足3个月无法申请认证的，需提供成立情况说明函（格式自拟），无需提供证书和认证信息查询截图，亦可得分；</w:t>
            </w:r>
          </w:p>
          <w:p w14:paraId="497A823A">
            <w:pPr>
              <w:widowControl/>
              <w:tabs>
                <w:tab w:val="left" w:pos="426"/>
              </w:tabs>
              <w:snapToGrid w:val="0"/>
              <w:spacing w:line="360" w:lineRule="exact"/>
              <w:rPr>
                <w:rFonts w:ascii="宋体" w:hAnsi="宋体" w:cs="宋体"/>
                <w:szCs w:val="21"/>
              </w:rPr>
            </w:pPr>
            <w:r>
              <w:rPr>
                <w:rFonts w:hint="eastAsia" w:ascii="宋体" w:hAnsi="宋体" w:cs="宋体"/>
                <w:szCs w:val="21"/>
              </w:rPr>
              <w:t>3.以上资料均要求提供复印件（或官方网站截图）并加盖供应商公章，原件备查。评分中出现无证明资料或专家无法凭所提供资料判断是否得分的情况，一律作不得分处理。</w:t>
            </w:r>
          </w:p>
        </w:tc>
        <w:tc>
          <w:tcPr>
            <w:tcW w:w="1187" w:type="dxa"/>
            <w:vAlign w:val="center"/>
          </w:tcPr>
          <w:p w14:paraId="560D6B7E">
            <w:pPr>
              <w:tabs>
                <w:tab w:val="left" w:pos="426"/>
              </w:tabs>
              <w:snapToGrid w:val="0"/>
              <w:spacing w:line="360" w:lineRule="exact"/>
              <w:jc w:val="center"/>
              <w:rPr>
                <w:rFonts w:ascii="宋体" w:hAnsi="宋体" w:cs="宋体"/>
                <w:szCs w:val="21"/>
              </w:rPr>
            </w:pPr>
            <w:r>
              <w:rPr>
                <w:rFonts w:hint="eastAsia" w:ascii="宋体" w:hAnsi="宋体" w:cs="宋体"/>
                <w:szCs w:val="21"/>
              </w:rPr>
              <w:t>评委打分</w:t>
            </w:r>
          </w:p>
        </w:tc>
      </w:tr>
    </w:tbl>
    <w:p w14:paraId="62AE0891">
      <w:pPr>
        <w:pStyle w:val="4"/>
        <w:spacing w:beforeLines="50"/>
        <w:jc w:val="left"/>
        <w:rPr>
          <w:rFonts w:asciiTheme="minorEastAsia" w:hAnsiTheme="minorEastAsia"/>
          <w:b/>
          <w:bCs/>
          <w:sz w:val="21"/>
          <w:szCs w:val="21"/>
        </w:rPr>
      </w:pPr>
      <w:bookmarkStart w:id="12" w:name="_Toc44691394"/>
      <w:bookmarkStart w:id="13" w:name="_Toc44690703"/>
      <w:bookmarkStart w:id="14" w:name="_Toc44690430"/>
      <w:bookmarkStart w:id="15" w:name="_Toc135293326"/>
      <w:bookmarkStart w:id="16" w:name="_Toc44691162"/>
      <w:bookmarkStart w:id="17" w:name="_Toc11321"/>
      <w:r>
        <w:rPr>
          <w:rFonts w:hint="eastAsia" w:asciiTheme="minorEastAsia" w:hAnsiTheme="minorEastAsia"/>
          <w:b/>
          <w:bCs/>
          <w:sz w:val="21"/>
          <w:szCs w:val="21"/>
        </w:rPr>
        <w:t>备注：</w:t>
      </w:r>
      <w:bookmarkEnd w:id="12"/>
      <w:bookmarkEnd w:id="13"/>
      <w:bookmarkEnd w:id="14"/>
      <w:bookmarkEnd w:id="15"/>
      <w:bookmarkEnd w:id="16"/>
      <w:r>
        <w:rPr>
          <w:rFonts w:hint="eastAsia" w:cs="仿宋" w:asciiTheme="minorEastAsia" w:hAnsiTheme="minorEastAsia"/>
          <w:b/>
          <w:bCs/>
          <w:sz w:val="21"/>
          <w:szCs w:val="21"/>
        </w:rPr>
        <w:t>评审得分=价格部分得分+技术部分得分+商务部分得分，最高100分。</w:t>
      </w:r>
      <w:bookmarkEnd w:id="17"/>
    </w:p>
    <w:p w14:paraId="7DDACD1D">
      <w:pPr>
        <w:pStyle w:val="3"/>
        <w:spacing w:before="0" w:after="0"/>
      </w:pPr>
      <w:bookmarkStart w:id="18" w:name="_Toc135293327"/>
    </w:p>
    <w:p w14:paraId="490D6F70">
      <w:pPr>
        <w:pStyle w:val="3"/>
        <w:spacing w:before="0" w:after="0"/>
      </w:pPr>
      <w:bookmarkStart w:id="19" w:name="_Toc24122"/>
      <w:r>
        <w:rPr>
          <w:rFonts w:hint="eastAsia"/>
        </w:rPr>
        <w:t>1、资质证书有效期</w:t>
      </w:r>
      <w:bookmarkEnd w:id="18"/>
      <w:bookmarkEnd w:id="19"/>
    </w:p>
    <w:p w14:paraId="061B6CB7">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37ACD7">
      <w:pPr>
        <w:adjustRightInd w:val="0"/>
        <w:spacing w:line="360" w:lineRule="exact"/>
        <w:rPr>
          <w:rFonts w:asciiTheme="minorEastAsia" w:hAnsiTheme="minorEastAsia" w:eastAsiaTheme="minorEastAsia"/>
          <w:b/>
        </w:rPr>
      </w:pPr>
    </w:p>
    <w:p w14:paraId="34C75B09">
      <w:pPr>
        <w:pStyle w:val="3"/>
        <w:spacing w:before="0" w:after="0"/>
        <w:rPr>
          <w:rFonts w:asciiTheme="minorEastAsia" w:hAnsiTheme="minorEastAsia" w:eastAsiaTheme="minorEastAsia"/>
        </w:rPr>
      </w:pPr>
      <w:bookmarkStart w:id="20" w:name="_Toc21494"/>
      <w:bookmarkStart w:id="21" w:name="_Toc135293328"/>
      <w:r>
        <w:rPr>
          <w:rFonts w:hint="eastAsia" w:asciiTheme="minorEastAsia" w:hAnsiTheme="minorEastAsia" w:eastAsiaTheme="minorEastAsia"/>
        </w:rPr>
        <w:t>2、政府采购扶持政策</w:t>
      </w:r>
      <w:bookmarkEnd w:id="20"/>
      <w:bookmarkEnd w:id="21"/>
    </w:p>
    <w:p w14:paraId="1D10B7D7">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E06A6FE">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B045752">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7B019185">
      <w:pPr>
        <w:widowControl/>
        <w:spacing w:line="360" w:lineRule="auto"/>
        <w:ind w:firstLine="371" w:firstLineChars="177"/>
        <w:jc w:val="left"/>
        <w:rPr>
          <w:rFonts w:cs="仿宋" w:asciiTheme="minorEastAsia" w:hAnsiTheme="minorEastAsia" w:eastAsiaTheme="minorEastAsia"/>
          <w:szCs w:val="21"/>
        </w:rPr>
      </w:pPr>
      <w:r>
        <w:rPr>
          <w:rFonts w:hint="eastAsia" w:ascii="宋体"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BA96BD6">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20256352">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F953635">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63BF3BFA">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E4A7E8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C59B91B">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（三）节能、环保标志产品采购</w:t>
      </w:r>
    </w:p>
    <w:p w14:paraId="4999CD03">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依据《关于调整优化节能产品环境标志产品政府采购执行机制的通知》（财库〔2019〕9号），投标产品属于《关于印发环境标志产品政府采购品目清单的通知》（财库〔2019〕18号）和《关于印发节能产品政府采购品目清单的通知》（财库〔2019〕19号）品目清单范围内的节能产品、环境标志产品的，投标人提供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78DFF184">
      <w:pPr>
        <w:pStyle w:val="46"/>
        <w:spacing w:before="0" w:beforeAutospacing="0" w:after="0" w:afterAutospacing="0" w:line="360" w:lineRule="auto"/>
        <w:ind w:firstLine="420"/>
        <w:textAlignment w:val="baseline"/>
        <w:rPr>
          <w:rFonts w:ascii="宋体" w:hAnsi="宋体" w:cs="宋体"/>
          <w:sz w:val="21"/>
          <w:szCs w:val="21"/>
        </w:rPr>
      </w:pPr>
      <w:r>
        <w:rPr>
          <w:rFonts w:hint="eastAsia" w:ascii="宋体" w:hAnsi="宋体" w:cs="宋体"/>
          <w:b/>
          <w:sz w:val="21"/>
          <w:szCs w:val="21"/>
        </w:rPr>
        <w:t>（四）</w:t>
      </w:r>
      <w:r>
        <w:rPr>
          <w:rStyle w:val="54"/>
          <w:rFonts w:hint="eastAsia" w:ascii="宋体" w:hAnsi="宋体" w:cs="宋体"/>
          <w:color w:val="000000"/>
          <w:sz w:val="21"/>
          <w:szCs w:val="21"/>
          <w:shd w:val="clear" w:color="auto" w:fill="FFFFFF"/>
        </w:rPr>
        <w:t>对本国产品的支持政策</w:t>
      </w:r>
    </w:p>
    <w:p w14:paraId="4218685F">
      <w:pPr>
        <w:pStyle w:val="46"/>
        <w:spacing w:before="0" w:beforeAutospacing="0" w:after="0" w:afterAutospacing="0" w:line="360" w:lineRule="auto"/>
        <w:ind w:firstLine="420"/>
        <w:textAlignment w:val="baseline"/>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2025〕34号）和《关于贯彻落实&lt;国务院办公厅关于在政府采购中实施本国产品标准及相关政策的通知&gt;的意见》（财库〔2025〕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A8D8E69">
      <w:pPr>
        <w:pStyle w:val="46"/>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15643B5">
      <w:r>
        <w:rPr>
          <w:rFonts w:hint="eastAsia"/>
        </w:rPr>
        <w:br w:type="page"/>
      </w:r>
    </w:p>
    <w:p w14:paraId="7B779EBF">
      <w:pPr>
        <w:pStyle w:val="2"/>
      </w:pPr>
    </w:p>
    <w:p w14:paraId="0B682DEC">
      <w:pPr>
        <w:pStyle w:val="2"/>
      </w:pPr>
      <w:bookmarkStart w:id="22" w:name="_Toc6265"/>
      <w:r>
        <w:rPr>
          <w:rFonts w:hint="eastAsia"/>
        </w:rPr>
        <w:t>第四章  合同文本</w:t>
      </w:r>
      <w:bookmarkEnd w:id="22"/>
    </w:p>
    <w:p w14:paraId="6E59ADB2">
      <w:pPr>
        <w:pStyle w:val="27"/>
        <w:ind w:firstLine="482" w:firstLineChars="200"/>
        <w:rPr>
          <w:rFonts w:asciiTheme="minorEastAsia" w:hAnsiTheme="minorEastAsia" w:cstheme="minorEastAsia"/>
          <w:color w:val="000000" w:themeColor="text1"/>
          <w:szCs w:val="21"/>
          <w14:textFill>
            <w14:solidFill>
              <w14:schemeClr w14:val="tx1"/>
            </w14:solidFill>
          </w14:textFill>
        </w:rPr>
      </w:pPr>
      <w:r>
        <w:rPr>
          <w:rFonts w:hint="eastAsia" w:ascii="Times New Roman" w:hAnsi="Times New Roman"/>
          <w:b/>
          <w:sz w:val="24"/>
        </w:rPr>
        <w:t>重要说明：本合同实际签订将根据供应商响应情况对合同进行调整。</w:t>
      </w:r>
      <w:r>
        <w:rPr>
          <w:rFonts w:hint="eastAsia" w:asciiTheme="minorEastAsia" w:hAnsiTheme="minorEastAsia" w:cstheme="minorEastAsia"/>
          <w:bCs/>
          <w:color w:val="000000" w:themeColor="text1"/>
          <w:szCs w:val="21"/>
          <w14:textFill>
            <w14:solidFill>
              <w14:schemeClr w14:val="tx1"/>
            </w14:solidFill>
          </w14:textFill>
        </w:rPr>
        <w:t xml:space="preserve">                                           </w:t>
      </w:r>
    </w:p>
    <w:p w14:paraId="7332630C">
      <w:pPr>
        <w:jc w:val="left"/>
        <w:rPr>
          <w:rFonts w:asciiTheme="majorEastAsia" w:hAnsiTheme="majorEastAsia" w:eastAsiaTheme="majorEastAsia"/>
          <w:b/>
          <w:sz w:val="36"/>
          <w:szCs w:val="36"/>
        </w:rPr>
      </w:pPr>
      <w:bookmarkStart w:id="23" w:name="OLE_LINK3"/>
      <w:bookmarkStart w:id="24" w:name="OLE_LINK4"/>
    </w:p>
    <w:bookmarkEnd w:id="23"/>
    <w:bookmarkEnd w:id="24"/>
    <w:p w14:paraId="51AD4531">
      <w:pPr>
        <w:jc w:val="center"/>
        <w:rPr>
          <w:rFonts w:ascii="宋体" w:hAnsi="宋体"/>
          <w:b/>
          <w:sz w:val="36"/>
          <w:szCs w:val="36"/>
        </w:rPr>
      </w:pPr>
      <w:r>
        <w:rPr>
          <w:rFonts w:hint="eastAsia" w:eastAsia="方正小标宋_GBK" w:cs="方正小标宋_GBK"/>
          <w:b/>
          <w:bCs/>
          <w:color w:val="000000"/>
          <w:kern w:val="0"/>
          <w:sz w:val="36"/>
          <w:szCs w:val="36"/>
          <w:lang w:val="zh-TW" w:bidi="zh-TW"/>
        </w:rPr>
        <w:t>皇岗海关新皇岗口岸手持式化学探测器采购项目合同书</w:t>
      </w:r>
    </w:p>
    <w:p w14:paraId="34FCE621">
      <w:pPr>
        <w:ind w:firstLine="3570" w:firstLineChars="1700"/>
      </w:pPr>
    </w:p>
    <w:p w14:paraId="55857ECD">
      <w:pPr>
        <w:spacing w:line="360" w:lineRule="auto"/>
        <w:rPr>
          <w:color w:val="000000"/>
          <w:sz w:val="24"/>
        </w:rPr>
      </w:pPr>
    </w:p>
    <w:p w14:paraId="0B2FD91C">
      <w:pPr>
        <w:spacing w:line="360" w:lineRule="auto"/>
        <w:rPr>
          <w:color w:val="000000"/>
          <w:sz w:val="24"/>
        </w:rPr>
      </w:pPr>
      <w:r>
        <w:rPr>
          <w:color w:val="000000"/>
          <w:sz w:val="24"/>
        </w:rPr>
        <w:t>甲方（采购人）</w:t>
      </w:r>
      <w:r>
        <w:rPr>
          <w:rFonts w:hint="eastAsia"/>
          <w:color w:val="000000"/>
          <w:sz w:val="24"/>
        </w:rPr>
        <w:t>：</w:t>
      </w:r>
    </w:p>
    <w:p w14:paraId="67A5C3F0">
      <w:pPr>
        <w:spacing w:line="360" w:lineRule="auto"/>
        <w:rPr>
          <w:color w:val="000000"/>
          <w:sz w:val="24"/>
        </w:rPr>
      </w:pPr>
      <w:r>
        <w:rPr>
          <w:color w:val="000000"/>
          <w:sz w:val="24"/>
        </w:rPr>
        <w:t>乙方（供应商）</w:t>
      </w:r>
      <w:r>
        <w:rPr>
          <w:rFonts w:hint="eastAsia"/>
          <w:color w:val="000000"/>
          <w:sz w:val="24"/>
        </w:rPr>
        <w:t>：</w:t>
      </w:r>
    </w:p>
    <w:p w14:paraId="2B2F4730">
      <w:pPr>
        <w:spacing w:line="360" w:lineRule="auto"/>
        <w:ind w:firstLine="480" w:firstLineChars="200"/>
        <w:rPr>
          <w:color w:val="000000"/>
          <w:sz w:val="24"/>
        </w:rPr>
      </w:pPr>
      <w:r>
        <w:rPr>
          <w:color w:val="000000"/>
          <w:sz w:val="24"/>
        </w:rPr>
        <w:t>根据</w:t>
      </w:r>
      <w:r>
        <w:rPr>
          <w:snapToGrid w:val="0"/>
          <w:color w:val="000000"/>
          <w:kern w:val="0"/>
          <w:sz w:val="24"/>
        </w:rPr>
        <w:t>《中华人民共和国民法典（合同编）》、</w:t>
      </w:r>
      <w:r>
        <w:rPr>
          <w:color w:val="000000"/>
          <w:sz w:val="24"/>
        </w:rPr>
        <w:t>《中华人民共和国政府采购法》等相关法律规定，甲方对</w:t>
      </w:r>
      <w:r>
        <w:rPr>
          <w:rFonts w:hint="eastAsia"/>
          <w:color w:val="000000"/>
          <w:sz w:val="24"/>
          <w:lang w:val="zh-TW"/>
        </w:rPr>
        <w:t>皇岗海关新皇岗口岸手持式化学探测器采购项目</w:t>
      </w:r>
      <w:r>
        <w:rPr>
          <w:color w:val="000000"/>
          <w:sz w:val="24"/>
        </w:rPr>
        <w:t>以</w:t>
      </w:r>
      <w:r>
        <w:rPr>
          <w:rFonts w:hint="eastAsia"/>
          <w:color w:val="000000"/>
          <w:sz w:val="24"/>
          <w:u w:val="single"/>
        </w:rPr>
        <w:t xml:space="preserve"> 公开招标 </w:t>
      </w:r>
      <w:r>
        <w:rPr>
          <w:color w:val="000000"/>
          <w:sz w:val="24"/>
        </w:rPr>
        <w:t>方式进行采购</w:t>
      </w:r>
      <w:r>
        <w:rPr>
          <w:rFonts w:hint="eastAsia"/>
          <w:color w:val="000000"/>
          <w:sz w:val="24"/>
        </w:rPr>
        <w:t>，</w:t>
      </w:r>
      <w:r>
        <w:rPr>
          <w:color w:val="000000"/>
          <w:sz w:val="24"/>
        </w:rPr>
        <w:t>确定乙方为中标人（成交商），现依照招标文件、投标文件等相关文件的内容，双方达成如下协议：</w:t>
      </w:r>
    </w:p>
    <w:p w14:paraId="189AE741">
      <w:pPr>
        <w:spacing w:line="360" w:lineRule="auto"/>
        <w:ind w:firstLine="482" w:firstLineChars="200"/>
        <w:rPr>
          <w:b/>
          <w:bCs/>
          <w:color w:val="000000"/>
          <w:sz w:val="24"/>
        </w:rPr>
      </w:pPr>
      <w:r>
        <w:rPr>
          <w:b/>
          <w:bCs/>
          <w:color w:val="000000"/>
          <w:sz w:val="24"/>
        </w:rPr>
        <w:t>第一条 采购货物清单</w:t>
      </w:r>
    </w:p>
    <w:tbl>
      <w:tblPr>
        <w:tblStyle w:val="51"/>
        <w:tblW w:w="90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93"/>
        <w:gridCol w:w="1144"/>
        <w:gridCol w:w="1219"/>
        <w:gridCol w:w="1013"/>
        <w:gridCol w:w="900"/>
        <w:gridCol w:w="1481"/>
        <w:gridCol w:w="1509"/>
      </w:tblGrid>
      <w:tr w14:paraId="0720F2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93" w:type="dxa"/>
            <w:tcBorders>
              <w:top w:val="single" w:color="auto" w:sz="4" w:space="0"/>
              <w:left w:val="single" w:color="auto" w:sz="4" w:space="0"/>
              <w:bottom w:val="single" w:color="auto" w:sz="4" w:space="0"/>
              <w:right w:val="single" w:color="auto" w:sz="4" w:space="0"/>
            </w:tcBorders>
            <w:vAlign w:val="center"/>
          </w:tcPr>
          <w:p w14:paraId="023373AE">
            <w:pPr>
              <w:pStyle w:val="513"/>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货物名称</w:t>
            </w:r>
          </w:p>
        </w:tc>
        <w:tc>
          <w:tcPr>
            <w:tcW w:w="1144" w:type="dxa"/>
            <w:tcBorders>
              <w:top w:val="single" w:color="auto" w:sz="4" w:space="0"/>
              <w:left w:val="single" w:color="auto" w:sz="4" w:space="0"/>
              <w:bottom w:val="single" w:color="auto" w:sz="4" w:space="0"/>
              <w:right w:val="single" w:color="auto" w:sz="4" w:space="0"/>
            </w:tcBorders>
            <w:vAlign w:val="center"/>
          </w:tcPr>
          <w:p w14:paraId="40823011">
            <w:pPr>
              <w:pStyle w:val="514"/>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品牌</w:t>
            </w:r>
          </w:p>
        </w:tc>
        <w:tc>
          <w:tcPr>
            <w:tcW w:w="1219" w:type="dxa"/>
            <w:tcBorders>
              <w:top w:val="single" w:color="auto" w:sz="4" w:space="0"/>
              <w:left w:val="single" w:color="auto" w:sz="4" w:space="0"/>
              <w:bottom w:val="single" w:color="auto" w:sz="4" w:space="0"/>
              <w:right w:val="single" w:color="auto" w:sz="4" w:space="0"/>
            </w:tcBorders>
            <w:vAlign w:val="center"/>
          </w:tcPr>
          <w:p w14:paraId="7EFFE035">
            <w:pPr>
              <w:pStyle w:val="515"/>
              <w:autoSpaceDN w:val="0"/>
              <w:adjustRightInd w:val="0"/>
              <w:snapToGrid w:val="0"/>
              <w:spacing w:line="360" w:lineRule="auto"/>
              <w:jc w:val="center"/>
              <w:rPr>
                <w:rFonts w:ascii="Times New Roman" w:hAnsi="Times New Roman"/>
                <w:b/>
                <w:bCs/>
                <w:color w:val="000000"/>
                <w:sz w:val="24"/>
                <w:szCs w:val="24"/>
              </w:rPr>
            </w:pPr>
            <w:r>
              <w:rPr>
                <w:rFonts w:ascii="Times New Roman" w:hAnsi="Times New Roman"/>
                <w:b/>
                <w:bCs/>
                <w:color w:val="000000"/>
                <w:sz w:val="24"/>
                <w:szCs w:val="24"/>
              </w:rPr>
              <w:t>规格型号</w:t>
            </w:r>
          </w:p>
        </w:tc>
        <w:tc>
          <w:tcPr>
            <w:tcW w:w="1013" w:type="dxa"/>
            <w:tcBorders>
              <w:top w:val="single" w:color="auto" w:sz="4" w:space="0"/>
              <w:left w:val="single" w:color="auto" w:sz="4" w:space="0"/>
              <w:bottom w:val="single" w:color="auto" w:sz="4" w:space="0"/>
              <w:right w:val="single" w:color="auto" w:sz="4" w:space="0"/>
            </w:tcBorders>
            <w:vAlign w:val="center"/>
          </w:tcPr>
          <w:p w14:paraId="51AD0AA5">
            <w:pPr>
              <w:pStyle w:val="516"/>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产地</w:t>
            </w:r>
          </w:p>
        </w:tc>
        <w:tc>
          <w:tcPr>
            <w:tcW w:w="900" w:type="dxa"/>
            <w:tcBorders>
              <w:top w:val="single" w:color="auto" w:sz="4" w:space="0"/>
              <w:left w:val="single" w:color="auto" w:sz="4" w:space="0"/>
              <w:bottom w:val="single" w:color="auto" w:sz="4" w:space="0"/>
              <w:right w:val="single" w:color="auto" w:sz="4" w:space="0"/>
            </w:tcBorders>
            <w:vAlign w:val="center"/>
          </w:tcPr>
          <w:p w14:paraId="787DCF5D">
            <w:pPr>
              <w:pStyle w:val="516"/>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数量</w:t>
            </w:r>
          </w:p>
        </w:tc>
        <w:tc>
          <w:tcPr>
            <w:tcW w:w="1481" w:type="dxa"/>
            <w:tcBorders>
              <w:top w:val="single" w:color="auto" w:sz="4" w:space="0"/>
              <w:left w:val="single" w:color="auto" w:sz="4" w:space="0"/>
              <w:bottom w:val="single" w:color="auto" w:sz="4" w:space="0"/>
              <w:right w:val="single" w:color="auto" w:sz="4" w:space="0"/>
            </w:tcBorders>
            <w:vAlign w:val="center"/>
          </w:tcPr>
          <w:p w14:paraId="0DE95530">
            <w:pPr>
              <w:pStyle w:val="517"/>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单价（元）</w:t>
            </w:r>
          </w:p>
        </w:tc>
        <w:tc>
          <w:tcPr>
            <w:tcW w:w="1509" w:type="dxa"/>
            <w:tcBorders>
              <w:top w:val="single" w:color="auto" w:sz="4" w:space="0"/>
              <w:left w:val="single" w:color="auto" w:sz="4" w:space="0"/>
              <w:bottom w:val="single" w:color="auto" w:sz="4" w:space="0"/>
              <w:right w:val="single" w:color="auto" w:sz="4" w:space="0"/>
            </w:tcBorders>
            <w:vAlign w:val="center"/>
          </w:tcPr>
          <w:p w14:paraId="714A1B7F">
            <w:pPr>
              <w:pStyle w:val="518"/>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合计（元）</w:t>
            </w:r>
          </w:p>
        </w:tc>
      </w:tr>
      <w:tr w14:paraId="420D4E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793" w:type="dxa"/>
            <w:tcBorders>
              <w:top w:val="single" w:color="auto" w:sz="4" w:space="0"/>
              <w:left w:val="single" w:color="auto" w:sz="4" w:space="0"/>
              <w:bottom w:val="single" w:color="auto" w:sz="4" w:space="0"/>
              <w:right w:val="single" w:color="auto" w:sz="4" w:space="0"/>
            </w:tcBorders>
            <w:vAlign w:val="center"/>
          </w:tcPr>
          <w:p w14:paraId="1E015E8B">
            <w:pPr>
              <w:widowControl/>
              <w:spacing w:line="360" w:lineRule="auto"/>
              <w:jc w:val="center"/>
              <w:rPr>
                <w:b/>
                <w:bCs/>
                <w:color w:val="000000"/>
                <w:sz w:val="24"/>
              </w:rPr>
            </w:pPr>
          </w:p>
        </w:tc>
        <w:tc>
          <w:tcPr>
            <w:tcW w:w="1144" w:type="dxa"/>
            <w:tcBorders>
              <w:top w:val="single" w:color="auto" w:sz="4" w:space="0"/>
              <w:left w:val="single" w:color="auto" w:sz="4" w:space="0"/>
              <w:bottom w:val="single" w:color="auto" w:sz="4" w:space="0"/>
              <w:right w:val="single" w:color="auto" w:sz="4" w:space="0"/>
            </w:tcBorders>
            <w:vAlign w:val="center"/>
          </w:tcPr>
          <w:p w14:paraId="38178DD5">
            <w:pPr>
              <w:pStyle w:val="520"/>
              <w:autoSpaceDN w:val="0"/>
              <w:adjustRightInd w:val="0"/>
              <w:snapToGrid w:val="0"/>
              <w:spacing w:line="360" w:lineRule="auto"/>
              <w:jc w:val="center"/>
              <w:rPr>
                <w:rFonts w:ascii="Times New Roman"/>
                <w:b/>
                <w:bCs/>
                <w:color w:val="000000"/>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BE3786F">
            <w:pPr>
              <w:pStyle w:val="521"/>
              <w:autoSpaceDN w:val="0"/>
              <w:adjustRightInd w:val="0"/>
              <w:snapToGrid w:val="0"/>
              <w:spacing w:line="360" w:lineRule="auto"/>
              <w:jc w:val="center"/>
              <w:rPr>
                <w:rFonts w:ascii="Times New Roman"/>
                <w:b/>
                <w:bCs/>
                <w:color w:val="000000"/>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14:paraId="3CB9A605">
            <w:pPr>
              <w:pStyle w:val="522"/>
              <w:autoSpaceDN w:val="0"/>
              <w:adjustRightInd w:val="0"/>
              <w:snapToGrid w:val="0"/>
              <w:spacing w:line="360" w:lineRule="auto"/>
              <w:jc w:val="center"/>
              <w:rPr>
                <w:rFonts w:ascii="Times New Roman"/>
                <w:b/>
                <w:bCs/>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A6C210A">
            <w:pPr>
              <w:pStyle w:val="522"/>
              <w:autoSpaceDN w:val="0"/>
              <w:adjustRightInd w:val="0"/>
              <w:snapToGrid w:val="0"/>
              <w:spacing w:line="360" w:lineRule="auto"/>
              <w:jc w:val="center"/>
              <w:rPr>
                <w:rFonts w:ascii="Times New Roman"/>
                <w:color w:val="000000"/>
                <w:sz w:val="24"/>
                <w:szCs w:val="24"/>
              </w:rPr>
            </w:pPr>
          </w:p>
        </w:tc>
        <w:tc>
          <w:tcPr>
            <w:tcW w:w="1481" w:type="dxa"/>
            <w:tcBorders>
              <w:top w:val="single" w:color="auto" w:sz="4" w:space="0"/>
              <w:left w:val="single" w:color="auto" w:sz="4" w:space="0"/>
              <w:bottom w:val="single" w:color="auto" w:sz="4" w:space="0"/>
              <w:right w:val="single" w:color="auto" w:sz="4" w:space="0"/>
            </w:tcBorders>
            <w:vAlign w:val="center"/>
          </w:tcPr>
          <w:p w14:paraId="0E44538F">
            <w:pPr>
              <w:pStyle w:val="523"/>
              <w:autoSpaceDN w:val="0"/>
              <w:adjustRightInd w:val="0"/>
              <w:snapToGrid w:val="0"/>
              <w:spacing w:line="360" w:lineRule="auto"/>
              <w:jc w:val="center"/>
              <w:rPr>
                <w:rFonts w:ascii="Times New Roman"/>
                <w:b/>
                <w:bCs/>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vAlign w:val="center"/>
          </w:tcPr>
          <w:p w14:paraId="251982F6">
            <w:pPr>
              <w:pStyle w:val="524"/>
              <w:autoSpaceDN w:val="0"/>
              <w:adjustRightInd w:val="0"/>
              <w:snapToGrid w:val="0"/>
              <w:spacing w:line="360" w:lineRule="auto"/>
              <w:jc w:val="center"/>
              <w:rPr>
                <w:rFonts w:ascii="Times New Roman"/>
                <w:b/>
                <w:bCs/>
                <w:color w:val="000000"/>
                <w:sz w:val="24"/>
                <w:szCs w:val="24"/>
              </w:rPr>
            </w:pPr>
          </w:p>
        </w:tc>
      </w:tr>
      <w:tr w14:paraId="6DCA1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793" w:type="dxa"/>
            <w:tcBorders>
              <w:top w:val="single" w:color="auto" w:sz="4" w:space="0"/>
              <w:left w:val="single" w:color="auto" w:sz="4" w:space="0"/>
              <w:bottom w:val="single" w:color="auto" w:sz="4" w:space="0"/>
              <w:right w:val="single" w:color="auto" w:sz="4" w:space="0"/>
            </w:tcBorders>
            <w:vAlign w:val="center"/>
          </w:tcPr>
          <w:p w14:paraId="432EC3D2">
            <w:pPr>
              <w:widowControl/>
              <w:spacing w:line="360" w:lineRule="auto"/>
              <w:jc w:val="center"/>
              <w:rPr>
                <w:b/>
                <w:bCs/>
                <w:color w:val="000000"/>
                <w:sz w:val="24"/>
              </w:rPr>
            </w:pPr>
          </w:p>
        </w:tc>
        <w:tc>
          <w:tcPr>
            <w:tcW w:w="1144" w:type="dxa"/>
            <w:tcBorders>
              <w:top w:val="single" w:color="auto" w:sz="4" w:space="0"/>
              <w:left w:val="single" w:color="auto" w:sz="4" w:space="0"/>
              <w:bottom w:val="single" w:color="auto" w:sz="4" w:space="0"/>
              <w:right w:val="single" w:color="auto" w:sz="4" w:space="0"/>
            </w:tcBorders>
            <w:vAlign w:val="center"/>
          </w:tcPr>
          <w:p w14:paraId="5896E408">
            <w:pPr>
              <w:pStyle w:val="526"/>
              <w:autoSpaceDN w:val="0"/>
              <w:adjustRightInd w:val="0"/>
              <w:snapToGrid w:val="0"/>
              <w:spacing w:line="360" w:lineRule="auto"/>
              <w:jc w:val="center"/>
              <w:rPr>
                <w:rFonts w:ascii="Times New Roman"/>
                <w:b/>
                <w:bCs/>
                <w:color w:val="000000"/>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7DE9986E">
            <w:pPr>
              <w:pStyle w:val="527"/>
              <w:autoSpaceDN w:val="0"/>
              <w:adjustRightInd w:val="0"/>
              <w:snapToGrid w:val="0"/>
              <w:spacing w:line="360" w:lineRule="auto"/>
              <w:jc w:val="center"/>
              <w:rPr>
                <w:rFonts w:ascii="Times New Roman"/>
                <w:b/>
                <w:bCs/>
                <w:color w:val="000000"/>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14:paraId="72174F60">
            <w:pPr>
              <w:pStyle w:val="528"/>
              <w:autoSpaceDN w:val="0"/>
              <w:adjustRightInd w:val="0"/>
              <w:snapToGrid w:val="0"/>
              <w:spacing w:line="360" w:lineRule="auto"/>
              <w:jc w:val="center"/>
              <w:rPr>
                <w:rFonts w:ascii="Times New Roman"/>
                <w:b/>
                <w:bCs/>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24D25D5">
            <w:pPr>
              <w:pStyle w:val="528"/>
              <w:autoSpaceDN w:val="0"/>
              <w:adjustRightInd w:val="0"/>
              <w:snapToGrid w:val="0"/>
              <w:spacing w:line="360" w:lineRule="auto"/>
              <w:jc w:val="center"/>
              <w:rPr>
                <w:rFonts w:ascii="Times New Roman"/>
                <w:color w:val="000000"/>
                <w:sz w:val="24"/>
                <w:szCs w:val="24"/>
              </w:rPr>
            </w:pPr>
          </w:p>
        </w:tc>
        <w:tc>
          <w:tcPr>
            <w:tcW w:w="1481" w:type="dxa"/>
            <w:tcBorders>
              <w:top w:val="single" w:color="auto" w:sz="4" w:space="0"/>
              <w:left w:val="single" w:color="auto" w:sz="4" w:space="0"/>
              <w:bottom w:val="single" w:color="auto" w:sz="4" w:space="0"/>
              <w:right w:val="single" w:color="auto" w:sz="4" w:space="0"/>
            </w:tcBorders>
            <w:vAlign w:val="center"/>
          </w:tcPr>
          <w:p w14:paraId="3BA1008B">
            <w:pPr>
              <w:pStyle w:val="529"/>
              <w:autoSpaceDN w:val="0"/>
              <w:adjustRightInd w:val="0"/>
              <w:snapToGrid w:val="0"/>
              <w:spacing w:line="360" w:lineRule="auto"/>
              <w:jc w:val="center"/>
              <w:rPr>
                <w:rFonts w:ascii="Times New Roman"/>
                <w:b/>
                <w:bCs/>
                <w:color w:val="000000"/>
                <w:sz w:val="24"/>
                <w:szCs w:val="24"/>
              </w:rPr>
            </w:pPr>
          </w:p>
        </w:tc>
        <w:tc>
          <w:tcPr>
            <w:tcW w:w="1509" w:type="dxa"/>
            <w:tcBorders>
              <w:top w:val="single" w:color="auto" w:sz="4" w:space="0"/>
              <w:left w:val="single" w:color="auto" w:sz="4" w:space="0"/>
              <w:bottom w:val="single" w:color="auto" w:sz="4" w:space="0"/>
              <w:right w:val="single" w:color="auto" w:sz="4" w:space="0"/>
            </w:tcBorders>
            <w:vAlign w:val="center"/>
          </w:tcPr>
          <w:p w14:paraId="1A270364">
            <w:pPr>
              <w:pStyle w:val="530"/>
              <w:autoSpaceDN w:val="0"/>
              <w:adjustRightInd w:val="0"/>
              <w:snapToGrid w:val="0"/>
              <w:spacing w:line="360" w:lineRule="auto"/>
              <w:jc w:val="center"/>
              <w:rPr>
                <w:rFonts w:ascii="Times New Roman"/>
                <w:b/>
                <w:bCs/>
                <w:color w:val="000000"/>
                <w:sz w:val="24"/>
                <w:szCs w:val="24"/>
              </w:rPr>
            </w:pPr>
          </w:p>
        </w:tc>
      </w:tr>
      <w:tr w14:paraId="3B128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7550" w:type="dxa"/>
            <w:gridSpan w:val="6"/>
            <w:tcBorders>
              <w:top w:val="single" w:color="auto" w:sz="4" w:space="0"/>
              <w:left w:val="single" w:color="auto" w:sz="4" w:space="0"/>
              <w:bottom w:val="single" w:color="auto" w:sz="4" w:space="0"/>
              <w:right w:val="single" w:color="auto" w:sz="4" w:space="0"/>
            </w:tcBorders>
            <w:vAlign w:val="center"/>
          </w:tcPr>
          <w:p w14:paraId="02CE4823">
            <w:pPr>
              <w:pStyle w:val="531"/>
              <w:autoSpaceDN w:val="0"/>
              <w:adjustRightInd w:val="0"/>
              <w:snapToGrid w:val="0"/>
              <w:spacing w:line="360" w:lineRule="auto"/>
              <w:jc w:val="center"/>
              <w:rPr>
                <w:rFonts w:ascii="Times New Roman"/>
                <w:b/>
                <w:bCs/>
                <w:color w:val="000000"/>
                <w:sz w:val="24"/>
                <w:szCs w:val="24"/>
              </w:rPr>
            </w:pPr>
            <w:r>
              <w:rPr>
                <w:rFonts w:ascii="Times New Roman"/>
                <w:b/>
                <w:bCs/>
                <w:color w:val="000000"/>
                <w:sz w:val="24"/>
                <w:szCs w:val="24"/>
              </w:rPr>
              <w:t xml:space="preserve">                                                    合同总价                                                    </w:t>
            </w:r>
          </w:p>
        </w:tc>
        <w:tc>
          <w:tcPr>
            <w:tcW w:w="1509" w:type="dxa"/>
            <w:tcBorders>
              <w:top w:val="single" w:color="auto" w:sz="4" w:space="0"/>
              <w:left w:val="single" w:color="auto" w:sz="4" w:space="0"/>
              <w:bottom w:val="single" w:color="auto" w:sz="4" w:space="0"/>
              <w:right w:val="single" w:color="auto" w:sz="4" w:space="0"/>
            </w:tcBorders>
            <w:vAlign w:val="center"/>
          </w:tcPr>
          <w:p w14:paraId="181E26E7">
            <w:pPr>
              <w:pStyle w:val="532"/>
              <w:autoSpaceDN w:val="0"/>
              <w:adjustRightInd w:val="0"/>
              <w:snapToGrid w:val="0"/>
              <w:spacing w:line="360" w:lineRule="auto"/>
              <w:jc w:val="center"/>
              <w:rPr>
                <w:rFonts w:ascii="Times New Roman"/>
                <w:b/>
                <w:bCs/>
                <w:color w:val="000000"/>
                <w:sz w:val="24"/>
                <w:szCs w:val="24"/>
              </w:rPr>
            </w:pPr>
          </w:p>
        </w:tc>
      </w:tr>
    </w:tbl>
    <w:p w14:paraId="54D8AA18">
      <w:pPr>
        <w:spacing w:line="360" w:lineRule="auto"/>
        <w:ind w:firstLine="482" w:firstLineChars="200"/>
        <w:rPr>
          <w:b/>
          <w:bCs/>
          <w:color w:val="000000"/>
          <w:sz w:val="24"/>
        </w:rPr>
      </w:pPr>
      <w:r>
        <w:rPr>
          <w:b/>
          <w:bCs/>
          <w:color w:val="000000"/>
          <w:sz w:val="24"/>
        </w:rPr>
        <w:t>第二条 合同总价款</w:t>
      </w:r>
    </w:p>
    <w:p w14:paraId="20CF8268">
      <w:pPr>
        <w:pStyle w:val="539"/>
        <w:spacing w:line="360" w:lineRule="auto"/>
        <w:ind w:firstLine="480" w:firstLineChars="200"/>
        <w:rPr>
          <w:rFonts w:eastAsia="宋体"/>
          <w:color w:val="000000"/>
          <w:sz w:val="24"/>
          <w:szCs w:val="24"/>
        </w:rPr>
      </w:pPr>
      <w:r>
        <w:rPr>
          <w:rFonts w:eastAsia="宋体"/>
          <w:color w:val="000000"/>
          <w:sz w:val="24"/>
          <w:szCs w:val="24"/>
        </w:rPr>
        <w:t>甲方以支付总价款__________元，（人民币大写</w:t>
      </w:r>
      <w:r>
        <w:rPr>
          <w:rFonts w:hint="eastAsia" w:eastAsia="宋体"/>
          <w:color w:val="000000"/>
          <w:sz w:val="24"/>
          <w:szCs w:val="24"/>
        </w:rPr>
        <w:t xml:space="preserve">：         </w:t>
      </w:r>
      <w:r>
        <w:rPr>
          <w:rFonts w:eastAsia="宋体"/>
          <w:color w:val="000000"/>
          <w:sz w:val="24"/>
          <w:szCs w:val="24"/>
        </w:rPr>
        <w:t>）接受乙方对上述货物的供货和</w:t>
      </w:r>
      <w:r>
        <w:rPr>
          <w:rFonts w:hint="eastAsia" w:eastAsia="宋体"/>
          <w:color w:val="000000"/>
          <w:sz w:val="24"/>
          <w:szCs w:val="24"/>
        </w:rPr>
        <w:t>伴随</w:t>
      </w:r>
      <w:r>
        <w:rPr>
          <w:rFonts w:eastAsia="宋体"/>
          <w:color w:val="000000"/>
          <w:sz w:val="24"/>
          <w:szCs w:val="24"/>
        </w:rPr>
        <w:t>服务。包括乙方提供货物、包装、运输、货物的保险和储存、检测、验收、调试、保修服务、培训、资料及提供的伴随服务等所有成本、费用及税费，甲方（用户）无需再向乙方支付其他任何费用。</w:t>
      </w:r>
    </w:p>
    <w:p w14:paraId="2C92E556">
      <w:pPr>
        <w:pStyle w:val="540"/>
        <w:spacing w:line="360" w:lineRule="auto"/>
        <w:ind w:firstLine="482" w:firstLineChars="200"/>
        <w:rPr>
          <w:rFonts w:ascii="Times New Roman" w:eastAsia="宋体"/>
          <w:color w:val="000000"/>
          <w:sz w:val="24"/>
          <w:szCs w:val="24"/>
        </w:rPr>
      </w:pPr>
      <w:r>
        <w:rPr>
          <w:rFonts w:ascii="Times New Roman" w:eastAsia="宋体"/>
          <w:b/>
          <w:bCs/>
          <w:color w:val="000000"/>
          <w:sz w:val="24"/>
          <w:szCs w:val="24"/>
        </w:rPr>
        <w:t>第三条 付款条件</w:t>
      </w:r>
    </w:p>
    <w:p w14:paraId="273BBD9D">
      <w:pPr>
        <w:spacing w:line="360" w:lineRule="auto"/>
        <w:ind w:firstLine="480" w:firstLineChars="200"/>
        <w:rPr>
          <w:color w:val="000000"/>
          <w:sz w:val="24"/>
        </w:rPr>
      </w:pPr>
      <w:r>
        <w:rPr>
          <w:color w:val="000000"/>
          <w:sz w:val="24"/>
        </w:rPr>
        <w:t>（一）本合同以人民币付款。</w:t>
      </w:r>
    </w:p>
    <w:p w14:paraId="1FCF5D89">
      <w:pPr>
        <w:spacing w:line="360" w:lineRule="auto"/>
        <w:ind w:firstLine="480" w:firstLineChars="200"/>
        <w:rPr>
          <w:color w:val="000000"/>
          <w:sz w:val="24"/>
        </w:rPr>
      </w:pPr>
      <w:r>
        <w:rPr>
          <w:color w:val="000000"/>
          <w:sz w:val="24"/>
        </w:rPr>
        <w:t>（二）付款办法：</w:t>
      </w:r>
    </w:p>
    <w:p w14:paraId="207824FA">
      <w:pPr>
        <w:spacing w:line="360" w:lineRule="auto"/>
        <w:ind w:firstLine="480" w:firstLineChars="200"/>
        <w:rPr>
          <w:color w:val="000000"/>
          <w:sz w:val="24"/>
        </w:rPr>
      </w:pPr>
      <w:r>
        <w:rPr>
          <w:rFonts w:hint="eastAsia"/>
          <w:color w:val="000000"/>
          <w:sz w:val="24"/>
        </w:rPr>
        <w:t>1.本合同按照以下第</w:t>
      </w:r>
      <w:r>
        <w:rPr>
          <w:rFonts w:hint="eastAsia"/>
          <w:color w:val="000000"/>
          <w:sz w:val="24"/>
          <w:u w:val="single"/>
        </w:rPr>
        <w:t xml:space="preserve"> （1） </w:t>
      </w:r>
      <w:r>
        <w:rPr>
          <w:rFonts w:hint="eastAsia"/>
          <w:color w:val="000000"/>
          <w:sz w:val="24"/>
        </w:rPr>
        <w:t>种方式付款：</w:t>
      </w:r>
    </w:p>
    <w:p w14:paraId="218FF128">
      <w:pPr>
        <w:spacing w:line="360" w:lineRule="auto"/>
        <w:ind w:firstLine="480" w:firstLineChars="200"/>
        <w:rPr>
          <w:color w:val="000000"/>
          <w:sz w:val="24"/>
        </w:rPr>
      </w:pPr>
      <w:r>
        <w:rPr>
          <w:rFonts w:hint="eastAsia"/>
          <w:color w:val="000000"/>
          <w:sz w:val="24"/>
        </w:rPr>
        <w:t>（1）一次性付款（无履约保证金或保函）：</w:t>
      </w:r>
    </w:p>
    <w:p w14:paraId="5B656530">
      <w:pPr>
        <w:spacing w:line="360" w:lineRule="auto"/>
        <w:ind w:firstLine="480" w:firstLineChars="200"/>
        <w:rPr>
          <w:color w:val="000000"/>
          <w:sz w:val="24"/>
        </w:rPr>
      </w:pPr>
      <w:r>
        <w:rPr>
          <w:rFonts w:hint="eastAsia"/>
          <w:color w:val="000000"/>
          <w:sz w:val="24"/>
        </w:rPr>
        <w:t>设备全部到货、调试，并经甲方（用户）全部验收合格后，</w:t>
      </w:r>
      <w:r>
        <w:rPr>
          <w:sz w:val="24"/>
        </w:rPr>
        <w:t>乙方向甲方提交下列单据之日起</w:t>
      </w:r>
      <w:r>
        <w:rPr>
          <w:rFonts w:hint="eastAsia"/>
          <w:color w:val="000000"/>
        </w:rPr>
        <w:t>10</w:t>
      </w:r>
      <w:r>
        <w:rPr>
          <w:sz w:val="24"/>
        </w:rPr>
        <w:t>个工作日内，</w:t>
      </w:r>
      <w:r>
        <w:rPr>
          <w:rFonts w:hint="eastAsia"/>
          <w:color w:val="000000"/>
          <w:sz w:val="24"/>
        </w:rPr>
        <w:t>甲方支付合同总价款的100%。</w:t>
      </w:r>
    </w:p>
    <w:p w14:paraId="12959ED1">
      <w:pPr>
        <w:spacing w:line="360" w:lineRule="auto"/>
        <w:ind w:firstLine="480" w:firstLineChars="200"/>
        <w:rPr>
          <w:color w:val="000000"/>
          <w:sz w:val="24"/>
        </w:rPr>
      </w:pPr>
      <w:r>
        <w:rPr>
          <w:sz w:val="24"/>
        </w:rPr>
        <w:t>乙方提交单据：合同（正文部分复印件）、中标通知书（或成交通知书复印件）、发票（原件）</w:t>
      </w:r>
      <w:r>
        <w:rPr>
          <w:rFonts w:hint="eastAsia"/>
          <w:sz w:val="24"/>
        </w:rPr>
        <w:t>、验收表（复印件）</w:t>
      </w:r>
      <w:r>
        <w:rPr>
          <w:sz w:val="24"/>
        </w:rPr>
        <w:t>。</w:t>
      </w:r>
    </w:p>
    <w:p w14:paraId="0FA74737">
      <w:pPr>
        <w:spacing w:line="360" w:lineRule="auto"/>
        <w:ind w:firstLine="480" w:firstLineChars="200"/>
        <w:rPr>
          <w:color w:val="000000"/>
          <w:sz w:val="24"/>
        </w:rPr>
      </w:pPr>
      <w:r>
        <w:rPr>
          <w:rFonts w:hint="eastAsia"/>
          <w:color w:val="000000"/>
          <w:sz w:val="24"/>
        </w:rPr>
        <w:t>（2）一次性付款：</w:t>
      </w:r>
    </w:p>
    <w:p w14:paraId="450B1C11">
      <w:pPr>
        <w:spacing w:line="360" w:lineRule="auto"/>
        <w:ind w:firstLine="420" w:firstLineChars="200"/>
        <w:rPr>
          <w:color w:val="000000"/>
          <w:sz w:val="24"/>
        </w:rPr>
      </w:pPr>
      <w:r>
        <w:rPr>
          <w:rFonts w:cs="Calibri"/>
          <w:color w:val="000000"/>
          <w:szCs w:val="21"/>
        </w:rPr>
        <w:t>①</w:t>
      </w:r>
      <w:r>
        <w:rPr>
          <w:rFonts w:hint="eastAsia"/>
          <w:color w:val="000000"/>
          <w:sz w:val="24"/>
        </w:rPr>
        <w:t>合同签订后，</w:t>
      </w:r>
      <w:r>
        <w:rPr>
          <w:color w:val="000000"/>
          <w:sz w:val="24"/>
        </w:rPr>
        <w:t>乙方向甲方交付履约保</w:t>
      </w:r>
      <w:r>
        <w:rPr>
          <w:rFonts w:hint="eastAsia"/>
          <w:color w:val="000000"/>
          <w:sz w:val="24"/>
        </w:rPr>
        <w:t>函或保证金，比例等于合同金额的10%；</w:t>
      </w:r>
    </w:p>
    <w:p w14:paraId="260B1F48">
      <w:pPr>
        <w:spacing w:line="360" w:lineRule="auto"/>
        <w:ind w:firstLine="420" w:firstLineChars="200"/>
        <w:rPr>
          <w:color w:val="000000"/>
          <w:sz w:val="24"/>
        </w:rPr>
      </w:pPr>
      <w:r>
        <w:rPr>
          <w:rFonts w:cs="Calibri"/>
          <w:szCs w:val="21"/>
        </w:rPr>
        <w:t>②</w:t>
      </w:r>
      <w:r>
        <w:rPr>
          <w:rFonts w:hint="eastAsia"/>
          <w:color w:val="000000"/>
          <w:sz w:val="24"/>
        </w:rPr>
        <w:t>设备全部到货，</w:t>
      </w:r>
      <w:r>
        <w:rPr>
          <w:sz w:val="24"/>
        </w:rPr>
        <w:t>乙方向甲方提交下列单据之日起</w:t>
      </w:r>
      <w:r>
        <w:rPr>
          <w:color w:val="000000"/>
        </w:rPr>
        <w:t>___</w:t>
      </w:r>
      <w:r>
        <w:rPr>
          <w:sz w:val="24"/>
        </w:rPr>
        <w:t>个工作日内，</w:t>
      </w:r>
      <w:r>
        <w:rPr>
          <w:rFonts w:hint="eastAsia"/>
          <w:color w:val="000000"/>
          <w:sz w:val="24"/>
        </w:rPr>
        <w:t>甲方支付合同总价款的100%。</w:t>
      </w:r>
    </w:p>
    <w:p w14:paraId="51A69F61">
      <w:pPr>
        <w:spacing w:line="360" w:lineRule="auto"/>
        <w:ind w:firstLine="480" w:firstLineChars="200"/>
        <w:rPr>
          <w:color w:val="000000"/>
          <w:sz w:val="24"/>
        </w:rPr>
      </w:pPr>
      <w:r>
        <w:rPr>
          <w:sz w:val="24"/>
        </w:rPr>
        <w:t>乙方提交单据：合同（正文部分复印件）、中标通知书（或成交通知书复印件）、发票（原件）</w:t>
      </w:r>
      <w:r>
        <w:rPr>
          <w:rFonts w:hint="eastAsia"/>
          <w:sz w:val="24"/>
        </w:rPr>
        <w:t>、</w:t>
      </w:r>
      <w:r>
        <w:rPr>
          <w:color w:val="000000"/>
          <w:sz w:val="24"/>
        </w:rPr>
        <w:t>设备到</w:t>
      </w:r>
      <w:r>
        <w:rPr>
          <w:rFonts w:hint="eastAsia"/>
          <w:color w:val="000000"/>
          <w:sz w:val="24"/>
        </w:rPr>
        <w:t>货验收表</w:t>
      </w:r>
      <w:r>
        <w:rPr>
          <w:rFonts w:hint="eastAsia"/>
          <w:sz w:val="24"/>
        </w:rPr>
        <w:t>（复印件）、</w:t>
      </w:r>
      <w:r>
        <w:rPr>
          <w:sz w:val="24"/>
        </w:rPr>
        <w:t>履约保</w:t>
      </w:r>
      <w:r>
        <w:rPr>
          <w:rFonts w:hint="eastAsia"/>
          <w:sz w:val="24"/>
        </w:rPr>
        <w:t>函或保证金</w:t>
      </w:r>
      <w:r>
        <w:rPr>
          <w:sz w:val="24"/>
        </w:rPr>
        <w:t>单据复印件。</w:t>
      </w:r>
    </w:p>
    <w:p w14:paraId="12860CB7">
      <w:pPr>
        <w:spacing w:line="360" w:lineRule="auto"/>
        <w:ind w:firstLine="420" w:firstLineChars="200"/>
        <w:rPr>
          <w:color w:val="000000"/>
          <w:sz w:val="24"/>
        </w:rPr>
      </w:pPr>
      <w:r>
        <w:rPr>
          <w:color w:val="000000"/>
          <w:szCs w:val="21"/>
        </w:rPr>
        <w:t>③</w:t>
      </w:r>
      <w:r>
        <w:rPr>
          <w:color w:val="000000"/>
          <w:sz w:val="24"/>
        </w:rPr>
        <w:t>设备全部调试，并经甲方（用户）验收合格后，乙方向甲方提交下列单据之日起</w:t>
      </w:r>
      <w:r>
        <w:rPr>
          <w:rFonts w:hint="eastAsia"/>
          <w:color w:val="000000"/>
          <w:sz w:val="24"/>
        </w:rPr>
        <w:t>30</w:t>
      </w:r>
      <w:r>
        <w:rPr>
          <w:color w:val="000000"/>
          <w:sz w:val="24"/>
        </w:rPr>
        <w:t>日内，甲方向乙方</w:t>
      </w:r>
      <w:r>
        <w:rPr>
          <w:rFonts w:hint="eastAsia"/>
          <w:color w:val="000000"/>
          <w:sz w:val="24"/>
        </w:rPr>
        <w:t>无息退还履约保函或保证金</w:t>
      </w:r>
      <w:r>
        <w:rPr>
          <w:color w:val="000000"/>
          <w:sz w:val="24"/>
        </w:rPr>
        <w:t>。</w:t>
      </w:r>
    </w:p>
    <w:p w14:paraId="6F3E5F66">
      <w:pPr>
        <w:spacing w:line="360" w:lineRule="auto"/>
        <w:ind w:firstLine="480" w:firstLineChars="200"/>
        <w:rPr>
          <w:color w:val="000000"/>
          <w:sz w:val="24"/>
        </w:rPr>
      </w:pPr>
      <w:r>
        <w:rPr>
          <w:color w:val="000000"/>
          <w:sz w:val="24"/>
        </w:rPr>
        <w:t>乙方提交单据：</w:t>
      </w:r>
      <w:r>
        <w:rPr>
          <w:rFonts w:hint="eastAsia"/>
          <w:color w:val="000000"/>
          <w:sz w:val="24"/>
        </w:rPr>
        <w:t>退还申请（原件）、</w:t>
      </w:r>
      <w:r>
        <w:rPr>
          <w:color w:val="000000"/>
          <w:sz w:val="24"/>
        </w:rPr>
        <w:t>调试验收合格报告（复印件）。</w:t>
      </w:r>
    </w:p>
    <w:p w14:paraId="09B31EB7">
      <w:pPr>
        <w:spacing w:line="360" w:lineRule="auto"/>
        <w:ind w:firstLine="480" w:firstLineChars="200"/>
        <w:rPr>
          <w:color w:val="000000"/>
          <w:sz w:val="24"/>
        </w:rPr>
      </w:pPr>
      <w:r>
        <w:rPr>
          <w:rFonts w:hint="eastAsia"/>
          <w:color w:val="000000"/>
          <w:sz w:val="24"/>
        </w:rPr>
        <w:t>（3）分期付款：</w:t>
      </w:r>
    </w:p>
    <w:p w14:paraId="0C3D2FC5">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①合同签订后，乙方向甲方交付履约保函或保证金，比例等于合同金额的10%，并提交下列单据之日起</w:t>
      </w:r>
      <w:r>
        <w:rPr>
          <w:color w:val="000000"/>
        </w:rPr>
        <w:t>___</w:t>
      </w:r>
      <w:r>
        <w:rPr>
          <w:rFonts w:hint="eastAsia"/>
          <w:snapToGrid w:val="0"/>
          <w:kern w:val="0"/>
          <w:sz w:val="24"/>
          <w:szCs w:val="24"/>
        </w:rPr>
        <w:t>个工作日内，甲方向乙方支付合同总价 50%合同款（金额大写：         ）。</w:t>
      </w:r>
    </w:p>
    <w:p w14:paraId="0756624C">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乙方提交单据：合同（正文部分复印件）、中标通知书（或成交通知书复印件）、发票（原件）、履约保函或保证金单据复印件。</w:t>
      </w:r>
    </w:p>
    <w:p w14:paraId="1252D4ED">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②设备全部到货并经甲方（用户）签收后，乙方向甲方提交下列单据之日起10个工作日内，甲方向乙方支付合同总价50%合同款（金额大写：            ）。</w:t>
      </w:r>
    </w:p>
    <w:p w14:paraId="64C6D5C9">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乙方提交单据：合同(正文部分复印件）、中标通知书（或成交通知书复印件）、发票（原件）、设备到签收单（复印件）。</w:t>
      </w:r>
    </w:p>
    <w:p w14:paraId="35CA25F8">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③设备全部调试，并经甲方（用户）验收合格后，乙方向甲方提交下列单据之日起30日内，甲方向乙方无息退还履约保函或保证金。</w:t>
      </w:r>
    </w:p>
    <w:p w14:paraId="547C6261">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乙方提交单据：退还申请（原件）、调试验收合格报告（复印件）。</w:t>
      </w:r>
    </w:p>
    <w:p w14:paraId="30ADF297">
      <w:pPr>
        <w:pStyle w:val="533"/>
        <w:autoSpaceDN w:val="0"/>
        <w:spacing w:line="360" w:lineRule="auto"/>
        <w:ind w:firstLine="480" w:firstLineChars="200"/>
        <w:jc w:val="left"/>
        <w:rPr>
          <w:snapToGrid w:val="0"/>
          <w:kern w:val="0"/>
          <w:sz w:val="24"/>
          <w:szCs w:val="24"/>
        </w:rPr>
      </w:pPr>
      <w:r>
        <w:rPr>
          <w:rFonts w:hint="eastAsia"/>
          <w:snapToGrid w:val="0"/>
          <w:kern w:val="0"/>
          <w:sz w:val="24"/>
          <w:szCs w:val="24"/>
        </w:rPr>
        <w:t>2.因财政集中支付延误时间不计算在内。乙方提交付款单据延迟、缺失及账户信息错误的，甲方有权相应顺延付款期限，且甲方不承担延误付款责任。</w:t>
      </w:r>
    </w:p>
    <w:p w14:paraId="0A0EF3AC">
      <w:pPr>
        <w:pStyle w:val="533"/>
        <w:autoSpaceDN w:val="0"/>
        <w:spacing w:line="360" w:lineRule="auto"/>
        <w:ind w:firstLine="240" w:firstLineChars="100"/>
        <w:jc w:val="left"/>
        <w:rPr>
          <w:snapToGrid w:val="0"/>
          <w:kern w:val="0"/>
          <w:sz w:val="24"/>
          <w:szCs w:val="24"/>
        </w:rPr>
      </w:pPr>
      <w:r>
        <w:rPr>
          <w:snapToGrid w:val="0"/>
          <w:kern w:val="0"/>
          <w:sz w:val="24"/>
          <w:szCs w:val="24"/>
        </w:rPr>
        <w:t>乙方收取货款账户为：</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6051"/>
      </w:tblGrid>
      <w:tr w14:paraId="0011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4" w:type="dxa"/>
            <w:vAlign w:val="center"/>
          </w:tcPr>
          <w:p w14:paraId="1ABA7563">
            <w:pPr>
              <w:pStyle w:val="533"/>
              <w:autoSpaceDN w:val="0"/>
              <w:spacing w:line="360" w:lineRule="auto"/>
              <w:jc w:val="left"/>
              <w:rPr>
                <w:snapToGrid w:val="0"/>
                <w:kern w:val="0"/>
                <w:sz w:val="24"/>
                <w:szCs w:val="24"/>
              </w:rPr>
            </w:pPr>
            <w:r>
              <w:rPr>
                <w:snapToGrid w:val="0"/>
                <w:kern w:val="0"/>
                <w:sz w:val="24"/>
                <w:szCs w:val="24"/>
              </w:rPr>
              <w:t>乙方全称</w:t>
            </w:r>
          </w:p>
        </w:tc>
        <w:tc>
          <w:tcPr>
            <w:tcW w:w="6051" w:type="dxa"/>
            <w:vAlign w:val="center"/>
          </w:tcPr>
          <w:p w14:paraId="1BD38DA0">
            <w:pPr>
              <w:pStyle w:val="533"/>
              <w:autoSpaceDN w:val="0"/>
              <w:spacing w:line="360" w:lineRule="auto"/>
              <w:ind w:firstLine="480" w:firstLineChars="200"/>
              <w:jc w:val="left"/>
              <w:rPr>
                <w:snapToGrid w:val="0"/>
                <w:kern w:val="0"/>
                <w:sz w:val="24"/>
                <w:szCs w:val="24"/>
              </w:rPr>
            </w:pPr>
          </w:p>
        </w:tc>
      </w:tr>
      <w:tr w14:paraId="4C27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804" w:type="dxa"/>
            <w:vAlign w:val="center"/>
          </w:tcPr>
          <w:p w14:paraId="57739308">
            <w:pPr>
              <w:pStyle w:val="533"/>
              <w:autoSpaceDN w:val="0"/>
              <w:spacing w:line="360" w:lineRule="auto"/>
              <w:jc w:val="left"/>
              <w:rPr>
                <w:snapToGrid w:val="0"/>
                <w:kern w:val="0"/>
                <w:sz w:val="24"/>
                <w:szCs w:val="24"/>
              </w:rPr>
            </w:pPr>
            <w:r>
              <w:rPr>
                <w:snapToGrid w:val="0"/>
                <w:kern w:val="0"/>
                <w:sz w:val="24"/>
                <w:szCs w:val="24"/>
              </w:rPr>
              <w:t>开户银行</w:t>
            </w:r>
          </w:p>
        </w:tc>
        <w:tc>
          <w:tcPr>
            <w:tcW w:w="6051" w:type="dxa"/>
            <w:vAlign w:val="center"/>
          </w:tcPr>
          <w:p w14:paraId="38FEFC6F">
            <w:pPr>
              <w:pStyle w:val="533"/>
              <w:autoSpaceDN w:val="0"/>
              <w:spacing w:line="360" w:lineRule="auto"/>
              <w:ind w:firstLine="480" w:firstLineChars="200"/>
              <w:jc w:val="left"/>
              <w:rPr>
                <w:snapToGrid w:val="0"/>
                <w:kern w:val="0"/>
                <w:sz w:val="24"/>
                <w:szCs w:val="24"/>
              </w:rPr>
            </w:pPr>
          </w:p>
        </w:tc>
      </w:tr>
      <w:tr w14:paraId="275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804" w:type="dxa"/>
            <w:vAlign w:val="center"/>
          </w:tcPr>
          <w:p w14:paraId="56983026">
            <w:pPr>
              <w:pStyle w:val="533"/>
              <w:autoSpaceDN w:val="0"/>
              <w:spacing w:line="360" w:lineRule="auto"/>
              <w:jc w:val="left"/>
              <w:rPr>
                <w:snapToGrid w:val="0"/>
                <w:kern w:val="0"/>
                <w:sz w:val="24"/>
                <w:szCs w:val="24"/>
              </w:rPr>
            </w:pPr>
            <w:r>
              <w:rPr>
                <w:snapToGrid w:val="0"/>
                <w:kern w:val="0"/>
                <w:sz w:val="24"/>
                <w:szCs w:val="24"/>
              </w:rPr>
              <w:t>账号</w:t>
            </w:r>
          </w:p>
        </w:tc>
        <w:tc>
          <w:tcPr>
            <w:tcW w:w="6051" w:type="dxa"/>
            <w:vAlign w:val="center"/>
          </w:tcPr>
          <w:p w14:paraId="6B96D544">
            <w:pPr>
              <w:pStyle w:val="533"/>
              <w:autoSpaceDN w:val="0"/>
              <w:spacing w:line="360" w:lineRule="auto"/>
              <w:ind w:firstLine="480" w:firstLineChars="200"/>
              <w:jc w:val="left"/>
              <w:rPr>
                <w:snapToGrid w:val="0"/>
                <w:kern w:val="0"/>
                <w:sz w:val="24"/>
                <w:szCs w:val="24"/>
              </w:rPr>
            </w:pPr>
          </w:p>
        </w:tc>
      </w:tr>
    </w:tbl>
    <w:p w14:paraId="60D4F4C5">
      <w:pPr>
        <w:spacing w:line="360" w:lineRule="auto"/>
        <w:ind w:firstLine="482" w:firstLineChars="200"/>
        <w:rPr>
          <w:b/>
          <w:bCs/>
          <w:color w:val="000000"/>
          <w:sz w:val="24"/>
        </w:rPr>
      </w:pPr>
      <w:r>
        <w:rPr>
          <w:b/>
          <w:bCs/>
          <w:color w:val="000000"/>
          <w:sz w:val="24"/>
        </w:rPr>
        <w:t>第四条 履约保证金</w:t>
      </w:r>
    </w:p>
    <w:p w14:paraId="6D483369">
      <w:pPr>
        <w:pStyle w:val="541"/>
        <w:spacing w:line="360" w:lineRule="auto"/>
        <w:ind w:firstLine="480" w:firstLineChars="200"/>
        <w:rPr>
          <w:rFonts w:eastAsia="宋体"/>
          <w:color w:val="000000"/>
          <w:sz w:val="24"/>
          <w:szCs w:val="24"/>
        </w:rPr>
      </w:pPr>
      <w:r>
        <w:rPr>
          <w:rFonts w:eastAsia="宋体"/>
          <w:color w:val="000000"/>
          <w:sz w:val="24"/>
          <w:szCs w:val="24"/>
        </w:rPr>
        <w:t>（一）</w:t>
      </w:r>
      <w:r>
        <w:rPr>
          <w:rFonts w:hint="eastAsia" w:eastAsia="宋体"/>
          <w:color w:val="000000"/>
          <w:sz w:val="24"/>
          <w:szCs w:val="24"/>
        </w:rPr>
        <w:t>采取分期付款的</w:t>
      </w:r>
      <w:r>
        <w:rPr>
          <w:rFonts w:eastAsia="宋体"/>
          <w:color w:val="000000"/>
          <w:sz w:val="24"/>
          <w:szCs w:val="24"/>
        </w:rPr>
        <w:t>合同签订之日起</w:t>
      </w:r>
      <w:r>
        <w:rPr>
          <w:rFonts w:hint="eastAsia" w:eastAsia="宋体"/>
          <w:color w:val="000000"/>
          <w:sz w:val="24"/>
          <w:szCs w:val="24"/>
          <w:u w:val="single"/>
        </w:rPr>
        <w:t xml:space="preserve">   </w:t>
      </w:r>
      <w:r>
        <w:rPr>
          <w:rFonts w:eastAsia="宋体"/>
          <w:color w:val="000000"/>
          <w:sz w:val="24"/>
          <w:szCs w:val="24"/>
        </w:rPr>
        <w:t>个工作日内，乙方须按合同金额的</w:t>
      </w:r>
      <w:r>
        <w:rPr>
          <w:rFonts w:hint="eastAsia" w:eastAsia="宋体"/>
          <w:color w:val="000000"/>
          <w:sz w:val="24"/>
          <w:szCs w:val="24"/>
        </w:rPr>
        <w:t>10</w:t>
      </w:r>
      <w:r>
        <w:rPr>
          <w:rFonts w:eastAsia="宋体"/>
          <w:color w:val="000000"/>
          <w:sz w:val="24"/>
          <w:szCs w:val="24"/>
        </w:rPr>
        <w:t>%向甲方交纳履约保证金</w:t>
      </w:r>
      <w:r>
        <w:rPr>
          <w:rFonts w:hint="eastAsia" w:eastAsia="宋体"/>
          <w:color w:val="000000"/>
          <w:sz w:val="24"/>
          <w:szCs w:val="24"/>
        </w:rPr>
        <w:t>或保函</w:t>
      </w:r>
      <w:r>
        <w:rPr>
          <w:rFonts w:eastAsia="宋体"/>
          <w:color w:val="000000"/>
          <w:sz w:val="24"/>
          <w:szCs w:val="24"/>
        </w:rPr>
        <w:t>。如果乙方未按照约定时间交付履约保证金的，甲方有权单方面解除合同。</w:t>
      </w:r>
    </w:p>
    <w:p w14:paraId="5768ED2E">
      <w:pPr>
        <w:pStyle w:val="542"/>
        <w:autoSpaceDN w:val="0"/>
        <w:spacing w:line="360" w:lineRule="auto"/>
        <w:ind w:firstLine="480" w:firstLineChars="200"/>
        <w:jc w:val="left"/>
        <w:rPr>
          <w:snapToGrid w:val="0"/>
          <w:kern w:val="0"/>
          <w:sz w:val="24"/>
          <w:szCs w:val="24"/>
        </w:rPr>
      </w:pPr>
      <w:r>
        <w:rPr>
          <w:snapToGrid w:val="0"/>
          <w:kern w:val="0"/>
          <w:sz w:val="24"/>
          <w:szCs w:val="24"/>
        </w:rPr>
        <w:t>甲方指定履约保证金收款账户为：</w:t>
      </w:r>
      <w:r>
        <w:rPr>
          <w:rFonts w:hint="eastAsia"/>
          <w:snapToGrid w:val="0"/>
          <w:kern w:val="0"/>
          <w:sz w:val="24"/>
          <w:szCs w:val="24"/>
        </w:rPr>
        <w:t>（如为保函，则无需填甲方收款账户）</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5469"/>
      </w:tblGrid>
      <w:tr w14:paraId="3F04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6" w:type="dxa"/>
            <w:vAlign w:val="center"/>
          </w:tcPr>
          <w:p w14:paraId="5C82E0CE">
            <w:pPr>
              <w:pStyle w:val="542"/>
              <w:autoSpaceDN w:val="0"/>
              <w:spacing w:line="360" w:lineRule="auto"/>
              <w:jc w:val="left"/>
              <w:rPr>
                <w:snapToGrid w:val="0"/>
                <w:kern w:val="0"/>
                <w:sz w:val="24"/>
                <w:szCs w:val="24"/>
              </w:rPr>
            </w:pPr>
            <w:r>
              <w:rPr>
                <w:snapToGrid w:val="0"/>
                <w:kern w:val="0"/>
                <w:sz w:val="24"/>
                <w:szCs w:val="24"/>
              </w:rPr>
              <w:t>收款单位全称</w:t>
            </w:r>
          </w:p>
        </w:tc>
        <w:tc>
          <w:tcPr>
            <w:tcW w:w="5469" w:type="dxa"/>
            <w:vAlign w:val="center"/>
          </w:tcPr>
          <w:p w14:paraId="3FEA8FEF">
            <w:pPr>
              <w:pStyle w:val="542"/>
              <w:autoSpaceDN w:val="0"/>
              <w:spacing w:line="360" w:lineRule="auto"/>
              <w:ind w:firstLine="480" w:firstLineChars="200"/>
              <w:jc w:val="left"/>
              <w:rPr>
                <w:snapToGrid w:val="0"/>
                <w:kern w:val="0"/>
                <w:sz w:val="24"/>
                <w:szCs w:val="24"/>
              </w:rPr>
            </w:pPr>
          </w:p>
        </w:tc>
      </w:tr>
      <w:tr w14:paraId="67784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386" w:type="dxa"/>
            <w:vAlign w:val="center"/>
          </w:tcPr>
          <w:p w14:paraId="7C9E0E48">
            <w:pPr>
              <w:pStyle w:val="542"/>
              <w:autoSpaceDN w:val="0"/>
              <w:spacing w:line="360" w:lineRule="auto"/>
              <w:jc w:val="left"/>
              <w:rPr>
                <w:snapToGrid w:val="0"/>
                <w:kern w:val="0"/>
                <w:sz w:val="24"/>
                <w:szCs w:val="24"/>
              </w:rPr>
            </w:pPr>
            <w:r>
              <w:rPr>
                <w:snapToGrid w:val="0"/>
                <w:kern w:val="0"/>
                <w:sz w:val="24"/>
                <w:szCs w:val="24"/>
              </w:rPr>
              <w:t>开户银行</w:t>
            </w:r>
          </w:p>
        </w:tc>
        <w:tc>
          <w:tcPr>
            <w:tcW w:w="5469" w:type="dxa"/>
            <w:vAlign w:val="center"/>
          </w:tcPr>
          <w:p w14:paraId="377F86E5">
            <w:pPr>
              <w:pStyle w:val="542"/>
              <w:autoSpaceDN w:val="0"/>
              <w:spacing w:line="360" w:lineRule="auto"/>
              <w:ind w:firstLine="480" w:firstLineChars="200"/>
              <w:jc w:val="left"/>
              <w:rPr>
                <w:snapToGrid w:val="0"/>
                <w:kern w:val="0"/>
                <w:sz w:val="24"/>
                <w:szCs w:val="24"/>
              </w:rPr>
            </w:pPr>
          </w:p>
        </w:tc>
      </w:tr>
      <w:tr w14:paraId="20DC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2386" w:type="dxa"/>
            <w:vAlign w:val="center"/>
          </w:tcPr>
          <w:p w14:paraId="71DBC6B1">
            <w:pPr>
              <w:pStyle w:val="542"/>
              <w:autoSpaceDN w:val="0"/>
              <w:spacing w:line="360" w:lineRule="auto"/>
              <w:jc w:val="left"/>
              <w:rPr>
                <w:snapToGrid w:val="0"/>
                <w:kern w:val="0"/>
                <w:sz w:val="24"/>
                <w:szCs w:val="24"/>
              </w:rPr>
            </w:pPr>
            <w:r>
              <w:rPr>
                <w:snapToGrid w:val="0"/>
                <w:kern w:val="0"/>
                <w:sz w:val="24"/>
                <w:szCs w:val="24"/>
              </w:rPr>
              <w:t>账号</w:t>
            </w:r>
          </w:p>
        </w:tc>
        <w:tc>
          <w:tcPr>
            <w:tcW w:w="5469" w:type="dxa"/>
            <w:vAlign w:val="center"/>
          </w:tcPr>
          <w:p w14:paraId="76C25912">
            <w:pPr>
              <w:pStyle w:val="542"/>
              <w:autoSpaceDN w:val="0"/>
              <w:spacing w:line="360" w:lineRule="auto"/>
              <w:ind w:firstLine="480" w:firstLineChars="200"/>
              <w:jc w:val="left"/>
              <w:rPr>
                <w:snapToGrid w:val="0"/>
                <w:kern w:val="0"/>
                <w:sz w:val="24"/>
                <w:szCs w:val="24"/>
              </w:rPr>
            </w:pPr>
          </w:p>
        </w:tc>
      </w:tr>
    </w:tbl>
    <w:p w14:paraId="79CC6219">
      <w:pPr>
        <w:pStyle w:val="541"/>
        <w:spacing w:line="360" w:lineRule="auto"/>
        <w:ind w:firstLine="480" w:firstLineChars="200"/>
        <w:rPr>
          <w:rFonts w:eastAsia="宋体"/>
          <w:color w:val="000000"/>
          <w:sz w:val="24"/>
          <w:szCs w:val="24"/>
        </w:rPr>
      </w:pPr>
      <w:r>
        <w:rPr>
          <w:rFonts w:eastAsia="宋体"/>
          <w:color w:val="000000"/>
          <w:sz w:val="24"/>
          <w:szCs w:val="24"/>
        </w:rPr>
        <w:t>（二）履约保证金以银行保函、银行电汇向甲方提供。</w:t>
      </w:r>
    </w:p>
    <w:p w14:paraId="68A4412D">
      <w:pPr>
        <w:spacing w:line="360" w:lineRule="auto"/>
        <w:ind w:firstLine="480" w:firstLineChars="200"/>
        <w:rPr>
          <w:color w:val="000000"/>
          <w:sz w:val="24"/>
        </w:rPr>
      </w:pPr>
      <w:r>
        <w:rPr>
          <w:color w:val="000000"/>
          <w:sz w:val="24"/>
        </w:rPr>
        <w:t>（</w:t>
      </w:r>
      <w:r>
        <w:rPr>
          <w:rFonts w:hint="eastAsia"/>
          <w:color w:val="000000"/>
          <w:sz w:val="24"/>
        </w:rPr>
        <w:t>三</w:t>
      </w:r>
      <w:r>
        <w:rPr>
          <w:color w:val="000000"/>
          <w:sz w:val="24"/>
        </w:rPr>
        <w:t>）如乙方未能履行合同规定的义务，甲方有权按照本合同的约定从履约保证金中进行相应扣除。乙方应在甲方扣除履约保证金之日起1</w:t>
      </w:r>
      <w:r>
        <w:rPr>
          <w:rFonts w:hint="eastAsia"/>
          <w:color w:val="000000"/>
          <w:sz w:val="24"/>
        </w:rPr>
        <w:t>0</w:t>
      </w:r>
      <w:r>
        <w:rPr>
          <w:color w:val="000000"/>
          <w:sz w:val="24"/>
        </w:rPr>
        <w:t>个工作日内，及时补充扣除部分金额。</w:t>
      </w:r>
    </w:p>
    <w:p w14:paraId="4F723205">
      <w:pPr>
        <w:spacing w:line="360" w:lineRule="auto"/>
        <w:ind w:firstLine="480" w:firstLineChars="200"/>
        <w:rPr>
          <w:color w:val="000000"/>
          <w:sz w:val="24"/>
        </w:rPr>
      </w:pPr>
      <w:r>
        <w:rPr>
          <w:color w:val="000000"/>
          <w:sz w:val="24"/>
        </w:rPr>
        <w:t>（</w:t>
      </w:r>
      <w:r>
        <w:rPr>
          <w:rFonts w:hint="eastAsia"/>
          <w:color w:val="000000"/>
          <w:sz w:val="24"/>
        </w:rPr>
        <w:t>四</w:t>
      </w:r>
      <w:r>
        <w:rPr>
          <w:color w:val="000000"/>
          <w:sz w:val="24"/>
        </w:rPr>
        <w:t>）如乙方不履行合同，或履行合同义务不符合约定使得合同目的不能实现，履约保证金不予退还。</w:t>
      </w:r>
    </w:p>
    <w:p w14:paraId="4472E14A">
      <w:pPr>
        <w:spacing w:line="360" w:lineRule="auto"/>
        <w:ind w:firstLine="482" w:firstLineChars="200"/>
        <w:rPr>
          <w:b/>
          <w:bCs/>
          <w:color w:val="000000"/>
          <w:sz w:val="24"/>
        </w:rPr>
      </w:pPr>
      <w:r>
        <w:rPr>
          <w:b/>
          <w:bCs/>
          <w:color w:val="000000"/>
          <w:sz w:val="24"/>
        </w:rPr>
        <w:t>第五条 包装</w:t>
      </w:r>
    </w:p>
    <w:p w14:paraId="13E62955">
      <w:pPr>
        <w:pStyle w:val="543"/>
        <w:ind w:firstLine="480" w:firstLineChars="200"/>
        <w:rPr>
          <w:rFonts w:eastAsia="宋体"/>
          <w:color w:val="000000"/>
          <w:sz w:val="24"/>
          <w:szCs w:val="24"/>
        </w:rPr>
      </w:pPr>
      <w:r>
        <w:rPr>
          <w:rFonts w:hint="eastAsia" w:eastAsia="宋体"/>
          <w:color w:val="000000"/>
          <w:sz w:val="24"/>
          <w:szCs w:val="24"/>
        </w:rPr>
        <w:t>（一）除合同另有规定外，乙方提供的全部货物均应按标准保护措施进行包装，这类包装应适应于远距离运输、防潮、防震、防锈和防野蛮装卸，以确保货物安全无损运抵指定</w:t>
      </w:r>
      <w:r>
        <w:rPr>
          <w:rFonts w:eastAsia="宋体"/>
          <w:color w:val="000000"/>
          <w:sz w:val="24"/>
          <w:szCs w:val="24"/>
        </w:rPr>
        <w:t>交货地点</w:t>
      </w:r>
      <w:r>
        <w:rPr>
          <w:rFonts w:hint="eastAsia" w:eastAsia="宋体"/>
          <w:color w:val="000000"/>
          <w:sz w:val="24"/>
          <w:szCs w:val="24"/>
        </w:rPr>
        <w:t>。</w:t>
      </w:r>
    </w:p>
    <w:p w14:paraId="57032D36">
      <w:pPr>
        <w:pStyle w:val="543"/>
        <w:ind w:firstLine="480" w:firstLineChars="200"/>
        <w:rPr>
          <w:rFonts w:eastAsia="宋体"/>
          <w:color w:val="000000"/>
          <w:sz w:val="24"/>
          <w:szCs w:val="24"/>
        </w:rPr>
      </w:pPr>
      <w:r>
        <w:rPr>
          <w:rFonts w:hint="eastAsia" w:eastAsia="宋体"/>
          <w:color w:val="000000"/>
          <w:sz w:val="24"/>
          <w:szCs w:val="24"/>
        </w:rPr>
        <w:t>（</w:t>
      </w:r>
      <w:r>
        <w:rPr>
          <w:rFonts w:eastAsia="宋体"/>
          <w:color w:val="000000"/>
          <w:sz w:val="24"/>
          <w:szCs w:val="24"/>
        </w:rPr>
        <w:t>二</w:t>
      </w:r>
      <w:r>
        <w:rPr>
          <w:rFonts w:hint="eastAsia" w:eastAsia="宋体"/>
          <w:color w:val="000000"/>
          <w:sz w:val="24"/>
          <w:szCs w:val="24"/>
        </w:rPr>
        <w:t>）</w:t>
      </w:r>
      <w:r>
        <w:rPr>
          <w:rFonts w:eastAsia="宋体"/>
          <w:color w:val="000000"/>
          <w:sz w:val="24"/>
          <w:szCs w:val="24"/>
        </w:rPr>
        <w:t>乙方应在包装箱外</w:t>
      </w:r>
      <w:r>
        <w:rPr>
          <w:rFonts w:hint="eastAsia" w:eastAsia="宋体"/>
          <w:color w:val="000000"/>
          <w:sz w:val="24"/>
          <w:szCs w:val="24"/>
        </w:rPr>
        <w:t>标明合同名称、合同编号、产品名称、型号</w:t>
      </w:r>
      <w:r>
        <w:rPr>
          <w:rFonts w:eastAsia="宋体"/>
          <w:color w:val="000000"/>
          <w:sz w:val="24"/>
          <w:szCs w:val="24"/>
        </w:rPr>
        <w:t>，</w:t>
      </w:r>
      <w:r>
        <w:rPr>
          <w:rFonts w:hint="eastAsia" w:eastAsia="宋体"/>
          <w:color w:val="000000"/>
          <w:sz w:val="24"/>
          <w:szCs w:val="24"/>
        </w:rPr>
        <w:t>包装箱内</w:t>
      </w:r>
      <w:r>
        <w:rPr>
          <w:rFonts w:eastAsia="宋体"/>
          <w:color w:val="000000"/>
          <w:sz w:val="24"/>
          <w:szCs w:val="24"/>
        </w:rPr>
        <w:t>随</w:t>
      </w:r>
      <w:r>
        <w:rPr>
          <w:rFonts w:hint="eastAsia" w:eastAsia="宋体"/>
          <w:color w:val="000000"/>
          <w:sz w:val="24"/>
          <w:szCs w:val="24"/>
        </w:rPr>
        <w:t>附一份详细装箱单和质量证书。</w:t>
      </w:r>
    </w:p>
    <w:p w14:paraId="775E45B9">
      <w:pPr>
        <w:ind w:firstLine="480" w:firstLineChars="200"/>
        <w:rPr>
          <w:color w:val="000000"/>
          <w:sz w:val="24"/>
        </w:rPr>
      </w:pPr>
      <w:r>
        <w:rPr>
          <w:rFonts w:hint="eastAsia"/>
          <w:color w:val="000000"/>
          <w:sz w:val="24"/>
        </w:rPr>
        <w:t>（</w:t>
      </w:r>
      <w:r>
        <w:rPr>
          <w:color w:val="000000"/>
          <w:sz w:val="24"/>
        </w:rPr>
        <w:t>三</w:t>
      </w:r>
      <w:r>
        <w:rPr>
          <w:rFonts w:hint="eastAsia"/>
          <w:color w:val="000000"/>
          <w:sz w:val="24"/>
        </w:rPr>
        <w:t>）乙方应承担由于其包装或防护措施不当而引起的货物损坏和丢失的任何损失责任和费用。</w:t>
      </w:r>
    </w:p>
    <w:p w14:paraId="757533C2">
      <w:pPr>
        <w:spacing w:line="360" w:lineRule="auto"/>
        <w:ind w:firstLine="482" w:firstLineChars="200"/>
        <w:rPr>
          <w:rFonts w:ascii="宋体" w:hAnsi="宋体" w:cs="宋体"/>
          <w:b/>
          <w:bCs/>
          <w:color w:val="000000"/>
          <w:sz w:val="24"/>
        </w:rPr>
      </w:pPr>
      <w:r>
        <w:rPr>
          <w:b/>
          <w:bCs/>
          <w:color w:val="000000"/>
          <w:sz w:val="24"/>
        </w:rPr>
        <w:t xml:space="preserve">第六条 </w:t>
      </w:r>
      <w:r>
        <w:rPr>
          <w:rFonts w:hint="eastAsia" w:ascii="宋体" w:hAnsi="宋体" w:cs="宋体"/>
          <w:b/>
          <w:bCs/>
          <w:color w:val="000000"/>
          <w:sz w:val="24"/>
        </w:rPr>
        <w:t>交货时间、地点、交货方法（运输方式）</w:t>
      </w:r>
    </w:p>
    <w:p w14:paraId="04BCB503">
      <w:pPr>
        <w:pStyle w:val="549"/>
        <w:ind w:firstLine="480" w:firstLineChars="200"/>
        <w:rPr>
          <w:rFonts w:ascii="宋体" w:hAnsi="宋体" w:cs="宋体"/>
          <w:color w:val="000000"/>
          <w:sz w:val="24"/>
          <w:szCs w:val="24"/>
        </w:rPr>
      </w:pPr>
      <w:r>
        <w:rPr>
          <w:rFonts w:hint="eastAsia" w:ascii="宋体" w:hAnsi="宋体" w:cs="宋体"/>
          <w:color w:val="000000"/>
          <w:sz w:val="24"/>
          <w:szCs w:val="24"/>
        </w:rPr>
        <w:t>一、</w:t>
      </w:r>
      <w:r>
        <w:rPr>
          <w:rFonts w:hint="eastAsia"/>
        </w:rPr>
        <w:t>在合同生效之日起</w:t>
      </w:r>
      <w:r>
        <w:rPr>
          <w:rFonts w:hint="eastAsia"/>
          <w:color w:val="000000"/>
        </w:rPr>
        <w:t>50个</w:t>
      </w:r>
      <w:r>
        <w:rPr>
          <w:rFonts w:hint="eastAsia"/>
        </w:rPr>
        <w:t>日历日内将上述货物全部调试完毕并交付使用</w:t>
      </w:r>
      <w:r>
        <w:rPr>
          <w:rFonts w:hint="eastAsia" w:ascii="宋体" w:hAnsi="宋体" w:cs="宋体"/>
          <w:color w:val="000000"/>
          <w:sz w:val="24"/>
          <w:szCs w:val="24"/>
        </w:rPr>
        <w:t>。</w:t>
      </w:r>
    </w:p>
    <w:p w14:paraId="2A602FA4">
      <w:pPr>
        <w:pStyle w:val="549"/>
        <w:ind w:firstLine="480" w:firstLineChars="200"/>
        <w:rPr>
          <w:rFonts w:ascii="宋体" w:hAnsi="宋体" w:cs="宋体"/>
          <w:color w:val="000000"/>
          <w:sz w:val="24"/>
          <w:szCs w:val="24"/>
        </w:rPr>
      </w:pPr>
      <w:r>
        <w:rPr>
          <w:rFonts w:hint="eastAsia" w:ascii="宋体" w:hAnsi="宋体" w:cs="宋体"/>
          <w:color w:val="000000"/>
          <w:sz w:val="24"/>
          <w:szCs w:val="24"/>
        </w:rPr>
        <w:t xml:space="preserve">二、交货地点为：深圳市福田区福田南路22号皇岗海关   </w:t>
      </w:r>
    </w:p>
    <w:p w14:paraId="05ECF802">
      <w:pPr>
        <w:pStyle w:val="546"/>
        <w:ind w:firstLine="480" w:firstLineChars="200"/>
        <w:rPr>
          <w:rFonts w:ascii="宋体" w:hAnsi="宋体" w:cs="宋体"/>
          <w:color w:val="000000"/>
          <w:sz w:val="24"/>
          <w:szCs w:val="24"/>
        </w:rPr>
      </w:pPr>
      <w:r>
        <w:rPr>
          <w:rFonts w:hint="eastAsia" w:ascii="宋体" w:hAnsi="宋体" w:cs="宋体"/>
          <w:color w:val="000000"/>
          <w:sz w:val="24"/>
          <w:szCs w:val="24"/>
        </w:rPr>
        <w:t>三、</w:t>
      </w:r>
      <w:r>
        <w:rPr>
          <w:rFonts w:hint="eastAsia" w:ascii="宋体" w:hAnsi="宋体" w:eastAsia="宋体" w:cs="宋体"/>
          <w:color w:val="000000"/>
          <w:sz w:val="24"/>
          <w:szCs w:val="24"/>
        </w:rPr>
        <w:t>交货方法：由乙方负责采用适合的交通工具将采购货物及其附件运至交货现场并按甲方要求完成卸货，以双方签署设备到货验收签收单为准，交货时应一并交付货物的有关单证。货物运至海关指定地点的运输、劳务及相关保险的办理由乙方负责并承担相应费用。</w:t>
      </w:r>
    </w:p>
    <w:p w14:paraId="1AD2551A">
      <w:pPr>
        <w:pStyle w:val="549"/>
        <w:ind w:firstLine="480" w:firstLineChars="200"/>
        <w:rPr>
          <w:rFonts w:ascii="宋体" w:hAnsi="宋体" w:cs="宋体"/>
          <w:color w:val="000000"/>
          <w:sz w:val="24"/>
          <w:szCs w:val="24"/>
        </w:rPr>
      </w:pPr>
      <w:r>
        <w:rPr>
          <w:rFonts w:hint="eastAsia" w:ascii="宋体" w:hAnsi="宋体" w:cs="宋体"/>
          <w:color w:val="000000"/>
          <w:sz w:val="24"/>
          <w:szCs w:val="24"/>
        </w:rPr>
        <w:t>四、交货验收前的一切费用（包括包装、运输、保险、入关事宜、调试等）、风险（包括损坏、灭失等）均由乙方承担。</w:t>
      </w:r>
    </w:p>
    <w:p w14:paraId="33EEF483">
      <w:pPr>
        <w:pStyle w:val="549"/>
        <w:ind w:firstLine="480" w:firstLineChars="200"/>
        <w:rPr>
          <w:rFonts w:ascii="宋体" w:hAnsi="宋体" w:cs="宋体"/>
          <w:color w:val="000000"/>
          <w:sz w:val="24"/>
          <w:szCs w:val="24"/>
        </w:rPr>
      </w:pPr>
      <w:r>
        <w:rPr>
          <w:rFonts w:hint="eastAsia" w:ascii="宋体" w:hAnsi="宋体" w:cs="宋体"/>
          <w:color w:val="000000"/>
          <w:sz w:val="24"/>
          <w:szCs w:val="24"/>
        </w:rPr>
        <w:t>五、风险责任承担：货物的风险责任和所有权在双方签署设备到货验收签收单/调试验收合格报告后由甲方承担和享有，此前的风险责任由乙方承担。</w:t>
      </w:r>
    </w:p>
    <w:p w14:paraId="1A344B29">
      <w:pPr>
        <w:pStyle w:val="547"/>
        <w:spacing w:line="360" w:lineRule="auto"/>
        <w:rPr>
          <w:rFonts w:eastAsia="宋体"/>
          <w:color w:val="000000"/>
          <w:sz w:val="24"/>
          <w:szCs w:val="24"/>
        </w:rPr>
      </w:pPr>
    </w:p>
    <w:p w14:paraId="1EDFED1B">
      <w:pPr>
        <w:pStyle w:val="548"/>
        <w:spacing w:line="360" w:lineRule="auto"/>
        <w:ind w:firstLine="482" w:firstLineChars="200"/>
        <w:rPr>
          <w:color w:val="000000"/>
          <w:sz w:val="24"/>
          <w:szCs w:val="24"/>
        </w:rPr>
      </w:pPr>
      <w:r>
        <w:rPr>
          <w:b/>
          <w:bCs/>
          <w:color w:val="000000"/>
          <w:sz w:val="24"/>
          <w:szCs w:val="24"/>
        </w:rPr>
        <w:t>第七条 货物验收</w:t>
      </w:r>
    </w:p>
    <w:p w14:paraId="6E8A04ED">
      <w:pPr>
        <w:pStyle w:val="549"/>
        <w:ind w:firstLine="480" w:firstLineChars="200"/>
        <w:rPr>
          <w:color w:val="000000"/>
          <w:sz w:val="24"/>
          <w:szCs w:val="24"/>
        </w:rPr>
      </w:pPr>
      <w:r>
        <w:rPr>
          <w:rFonts w:hint="eastAsia"/>
          <w:color w:val="000000"/>
          <w:sz w:val="24"/>
          <w:szCs w:val="24"/>
        </w:rPr>
        <w:t>（一）货物运至甲方（用户）指定地点后，由甲乙双方指派人员按照本合同规定对货物进行验收，乙方应提供交货清单等文件供甲方（用户）审查，甲方（用户）将按合同清单进行规格、数量、外观的检查。</w:t>
      </w:r>
    </w:p>
    <w:p w14:paraId="4924511B">
      <w:pPr>
        <w:pStyle w:val="549"/>
        <w:ind w:firstLine="480" w:firstLineChars="200"/>
        <w:rPr>
          <w:color w:val="000000"/>
          <w:sz w:val="24"/>
          <w:szCs w:val="24"/>
        </w:rPr>
      </w:pPr>
      <w:r>
        <w:rPr>
          <w:rFonts w:hint="eastAsia"/>
          <w:color w:val="000000"/>
          <w:sz w:val="24"/>
          <w:szCs w:val="24"/>
        </w:rPr>
        <w:t>（二）收货后10个工作日内甲乙双方进行到货验收工作。如验收合格，甲方（用户）应及时履行验收手续，双方签署设备到货验收表；如验收不合格，甲方（用户）应以书面形式通知乙方原因，乙方收到通知后5个工作日内提供解决方案，并按甲方（用户）要求完成整改。</w:t>
      </w:r>
    </w:p>
    <w:p w14:paraId="7DEE7865">
      <w:pPr>
        <w:pStyle w:val="549"/>
        <w:ind w:firstLine="480" w:firstLineChars="200"/>
        <w:rPr>
          <w:color w:val="000000"/>
          <w:sz w:val="24"/>
          <w:szCs w:val="24"/>
        </w:rPr>
      </w:pPr>
      <w:r>
        <w:rPr>
          <w:rFonts w:hint="eastAsia"/>
          <w:color w:val="000000"/>
          <w:sz w:val="24"/>
          <w:szCs w:val="24"/>
        </w:rPr>
        <w:t>（三）在验收工作中，发现数量不足或有质量、技术等问题，乙方应按照合同要求采取补足、更换或退货等处理措施，并承担由此发生的一切费用和损失。</w:t>
      </w:r>
    </w:p>
    <w:p w14:paraId="2D242533">
      <w:pPr>
        <w:pStyle w:val="549"/>
        <w:ind w:firstLine="480" w:firstLineChars="200"/>
        <w:rPr>
          <w:color w:val="000000"/>
          <w:sz w:val="24"/>
          <w:szCs w:val="24"/>
        </w:rPr>
      </w:pPr>
      <w:r>
        <w:rPr>
          <w:rFonts w:hint="eastAsia"/>
          <w:color w:val="000000"/>
          <w:sz w:val="24"/>
          <w:szCs w:val="24"/>
        </w:rPr>
        <w:t>（四）乙方负责于到货验收后10个工作日内在甲方配合下完成所供设备调试，有关技术问题由乙方和制造商协同解决。调试后，双方签署设备调试验收报告。</w:t>
      </w:r>
    </w:p>
    <w:p w14:paraId="11F7B449">
      <w:pPr>
        <w:pStyle w:val="549"/>
        <w:ind w:firstLine="480" w:firstLineChars="200"/>
        <w:rPr>
          <w:color w:val="000000"/>
          <w:sz w:val="24"/>
          <w:szCs w:val="24"/>
        </w:rPr>
      </w:pPr>
      <w:r>
        <w:rPr>
          <w:rFonts w:hint="eastAsia"/>
          <w:color w:val="000000"/>
          <w:sz w:val="24"/>
          <w:szCs w:val="24"/>
        </w:rPr>
        <w:t>（五）甲方（用户）认为必要时，可以邀请国家认可的质量检测机构参加验收工作，相关验收意见作为验收报告的参考资料，相关费用由乙方承担。</w:t>
      </w:r>
    </w:p>
    <w:p w14:paraId="001FC601">
      <w:pPr>
        <w:pStyle w:val="549"/>
        <w:ind w:firstLine="480" w:firstLineChars="200"/>
        <w:rPr>
          <w:color w:val="000000"/>
          <w:sz w:val="24"/>
          <w:szCs w:val="24"/>
        </w:rPr>
      </w:pPr>
      <w:r>
        <w:rPr>
          <w:rFonts w:hint="eastAsia"/>
          <w:color w:val="000000"/>
          <w:sz w:val="24"/>
          <w:szCs w:val="24"/>
        </w:rPr>
        <w:t>（六）验收标准以双方达成的对质量和技术标准的约定、乙方承诺的质量和技术标准、国家或行业规定的相关质量和技术标准中最高者为准，且应充分满足甲方使用要求。</w:t>
      </w:r>
    </w:p>
    <w:p w14:paraId="7AB87B67">
      <w:pPr>
        <w:pStyle w:val="549"/>
        <w:ind w:firstLine="482" w:firstLineChars="200"/>
        <w:rPr>
          <w:color w:val="000000"/>
          <w:sz w:val="24"/>
          <w:szCs w:val="24"/>
        </w:rPr>
      </w:pPr>
      <w:r>
        <w:rPr>
          <w:b/>
          <w:bCs/>
          <w:color w:val="000000"/>
          <w:sz w:val="24"/>
          <w:szCs w:val="24"/>
        </w:rPr>
        <w:t>第八条 质量保证</w:t>
      </w:r>
    </w:p>
    <w:p w14:paraId="23EE908A">
      <w:pPr>
        <w:spacing w:line="360" w:lineRule="auto"/>
        <w:ind w:firstLine="480" w:firstLineChars="200"/>
        <w:rPr>
          <w:color w:val="000000"/>
          <w:sz w:val="24"/>
        </w:rPr>
      </w:pPr>
      <w:r>
        <w:rPr>
          <w:color w:val="000000"/>
          <w:sz w:val="24"/>
        </w:rPr>
        <w:t>（一）</w:t>
      </w:r>
      <w:r>
        <w:rPr>
          <w:rFonts w:hint="eastAsia"/>
          <w:color w:val="000000"/>
          <w:sz w:val="24"/>
        </w:rPr>
        <w:t>乙方应保证所供货物</w:t>
      </w:r>
      <w:r>
        <w:rPr>
          <w:color w:val="000000"/>
          <w:sz w:val="24"/>
        </w:rPr>
        <w:t>为______公司制造生产、原包装、</w:t>
      </w:r>
      <w:r>
        <w:rPr>
          <w:rFonts w:hint="eastAsia"/>
          <w:color w:val="000000"/>
          <w:sz w:val="24"/>
        </w:rPr>
        <w:t>全新未使用过的</w:t>
      </w:r>
      <w:r>
        <w:rPr>
          <w:color w:val="000000"/>
          <w:sz w:val="24"/>
        </w:rPr>
        <w:t>产品</w:t>
      </w:r>
      <w:r>
        <w:rPr>
          <w:rFonts w:hint="eastAsia"/>
          <w:color w:val="000000"/>
          <w:sz w:val="24"/>
        </w:rPr>
        <w:t>，</w:t>
      </w:r>
      <w:r>
        <w:rPr>
          <w:color w:val="000000"/>
          <w:sz w:val="24"/>
        </w:rPr>
        <w:t>与投标文件/应答文件承诺一致，</w:t>
      </w:r>
      <w:r>
        <w:rPr>
          <w:rFonts w:hint="eastAsia"/>
          <w:color w:val="000000"/>
          <w:sz w:val="24"/>
        </w:rPr>
        <w:t>并完全符合或高于合同要求的质量、规格和技术性能。</w:t>
      </w:r>
    </w:p>
    <w:p w14:paraId="5EA3851D">
      <w:pPr>
        <w:spacing w:line="360" w:lineRule="auto"/>
        <w:ind w:firstLine="480" w:firstLineChars="200"/>
        <w:rPr>
          <w:color w:val="000000"/>
          <w:sz w:val="24"/>
        </w:rPr>
      </w:pPr>
      <w:r>
        <w:rPr>
          <w:color w:val="000000"/>
          <w:sz w:val="24"/>
        </w:rPr>
        <w:t>（二）乙方应保证所供货物没有因乙方的行为或疏忽而产生材料或工艺上的缺陷，并保证其货物在正常使用和保养条件下，在其使用寿命期内具有满意的性能。在货物最终交付验收后不少于合同规定或乙方承诺（两者以较长的为准）的质量保证期内，本保证保持有效。</w:t>
      </w:r>
    </w:p>
    <w:p w14:paraId="484924B8">
      <w:pPr>
        <w:spacing w:line="360" w:lineRule="auto"/>
        <w:ind w:firstLine="480" w:firstLineChars="200"/>
        <w:rPr>
          <w:color w:val="000000"/>
          <w:sz w:val="24"/>
        </w:rPr>
      </w:pPr>
      <w:r>
        <w:rPr>
          <w:color w:val="000000"/>
          <w:sz w:val="24"/>
        </w:rPr>
        <w:t>（三）如果乙方所供货物质量与合同不符，或证实所供货物是有缺陷的，包括潜在的缺陷或使用不符合要求的材料等，由此引起的全部损失及费用由乙方承担。若以上原因导致或引起甲方（用户）损失及导致或引起第三方受到损害的，全部赔偿责任均应由乙方承担。</w:t>
      </w:r>
    </w:p>
    <w:p w14:paraId="627B618D">
      <w:pPr>
        <w:spacing w:line="360" w:lineRule="auto"/>
        <w:ind w:firstLine="480" w:firstLineChars="200"/>
        <w:rPr>
          <w:color w:val="000000"/>
          <w:sz w:val="24"/>
        </w:rPr>
      </w:pPr>
      <w:r>
        <w:rPr>
          <w:color w:val="000000"/>
          <w:sz w:val="24"/>
        </w:rPr>
        <w:t>（四）在质量保证期内所发现的缺陷，甲方（用户）应尽快以书面形式通知乙方。乙方收到通知后应10</w:t>
      </w:r>
      <w:r>
        <w:rPr>
          <w:rFonts w:hint="eastAsia" w:ascii="宋体" w:hAnsi="宋体" w:cs="宋体"/>
          <w:szCs w:val="21"/>
        </w:rPr>
        <w:t>日历日</w:t>
      </w:r>
      <w:r>
        <w:rPr>
          <w:color w:val="000000"/>
          <w:sz w:val="24"/>
        </w:rPr>
        <w:t>内维修或更换有缺陷的货物或部件。</w:t>
      </w:r>
    </w:p>
    <w:p w14:paraId="14496525">
      <w:pPr>
        <w:spacing w:line="360" w:lineRule="auto"/>
        <w:ind w:firstLine="480" w:firstLineChars="200"/>
        <w:rPr>
          <w:color w:val="000000"/>
          <w:sz w:val="24"/>
        </w:rPr>
      </w:pPr>
      <w:r>
        <w:rPr>
          <w:color w:val="000000"/>
          <w:sz w:val="24"/>
        </w:rPr>
        <w:t>（五）乙方在约定的时间内未能弥补缺陷，甲方（用户）可采取必要的补救措施，但其风险和费用将由乙方承担，甲方（用户）根据合同规定对乙方行使的其他权利不受影响。</w:t>
      </w:r>
    </w:p>
    <w:p w14:paraId="6465DB58">
      <w:pPr>
        <w:spacing w:line="360" w:lineRule="auto"/>
        <w:ind w:firstLine="480" w:firstLineChars="200"/>
        <w:rPr>
          <w:color w:val="000000"/>
          <w:sz w:val="24"/>
        </w:rPr>
      </w:pPr>
      <w:r>
        <w:rPr>
          <w:color w:val="000000"/>
          <w:sz w:val="24"/>
        </w:rPr>
        <w:t>（六）本合同项目所有货物质量保证期为：自双方签署设备调试验收合格报告之日起计算</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年。</w:t>
      </w:r>
    </w:p>
    <w:p w14:paraId="24FF8CDE">
      <w:pPr>
        <w:spacing w:line="360" w:lineRule="auto"/>
        <w:ind w:firstLine="482" w:firstLineChars="200"/>
        <w:rPr>
          <w:b/>
          <w:bCs/>
          <w:color w:val="000000"/>
          <w:sz w:val="24"/>
        </w:rPr>
      </w:pPr>
      <w:r>
        <w:rPr>
          <w:b/>
          <w:bCs/>
          <w:color w:val="000000"/>
          <w:sz w:val="24"/>
        </w:rPr>
        <w:t>第九条 培训</w:t>
      </w:r>
    </w:p>
    <w:p w14:paraId="48728735">
      <w:pPr>
        <w:spacing w:line="360" w:lineRule="auto"/>
        <w:ind w:firstLine="480" w:firstLineChars="200"/>
        <w:rPr>
          <w:bCs/>
          <w:color w:val="000000"/>
          <w:sz w:val="24"/>
        </w:rPr>
      </w:pPr>
      <w:r>
        <w:rPr>
          <w:rFonts w:hint="eastAsia"/>
          <w:bCs/>
          <w:color w:val="000000"/>
          <w:sz w:val="24"/>
        </w:rPr>
        <w:t>设备在调试同时，</w:t>
      </w:r>
      <w:r>
        <w:rPr>
          <w:rFonts w:hint="eastAsia"/>
          <w:color w:val="000000"/>
          <w:sz w:val="24"/>
        </w:rPr>
        <w:t>乙方</w:t>
      </w:r>
      <w:r>
        <w:rPr>
          <w:rFonts w:hint="eastAsia"/>
          <w:bCs/>
          <w:color w:val="000000"/>
          <w:sz w:val="24"/>
        </w:rPr>
        <w:t>负责派工程师对</w:t>
      </w:r>
      <w:r>
        <w:rPr>
          <w:rFonts w:hint="eastAsia"/>
          <w:color w:val="000000"/>
          <w:sz w:val="24"/>
        </w:rPr>
        <w:t>甲方</w:t>
      </w:r>
      <w:r>
        <w:rPr>
          <w:rFonts w:hint="eastAsia"/>
          <w:bCs/>
          <w:color w:val="000000"/>
          <w:sz w:val="24"/>
        </w:rPr>
        <w:t>就设备原理和基本操作进行现场培训，</w:t>
      </w:r>
      <w:r>
        <w:rPr>
          <w:rFonts w:hint="eastAsia"/>
          <w:color w:val="000000"/>
          <w:sz w:val="24"/>
        </w:rPr>
        <w:t>乙方</w:t>
      </w:r>
      <w:r>
        <w:rPr>
          <w:rFonts w:hint="eastAsia"/>
          <w:bCs/>
          <w:color w:val="000000"/>
          <w:sz w:val="24"/>
        </w:rPr>
        <w:t>派遣的培训工程师不少于2人，培训时间视</w:t>
      </w:r>
      <w:r>
        <w:rPr>
          <w:rFonts w:hint="eastAsia"/>
          <w:color w:val="000000"/>
          <w:sz w:val="24"/>
        </w:rPr>
        <w:t>甲方</w:t>
      </w:r>
      <w:r>
        <w:rPr>
          <w:rFonts w:hint="eastAsia"/>
          <w:bCs/>
          <w:color w:val="000000"/>
          <w:sz w:val="24"/>
        </w:rPr>
        <w:t>需要，确保</w:t>
      </w:r>
      <w:r>
        <w:rPr>
          <w:rFonts w:hint="eastAsia"/>
          <w:color w:val="000000"/>
          <w:sz w:val="24"/>
        </w:rPr>
        <w:t>甲方</w:t>
      </w:r>
      <w:r>
        <w:rPr>
          <w:rFonts w:hint="eastAsia"/>
          <w:bCs/>
          <w:color w:val="000000"/>
          <w:sz w:val="24"/>
        </w:rPr>
        <w:t>用户能正常操作，不额外收取费用。</w:t>
      </w:r>
    </w:p>
    <w:p w14:paraId="24D078A6">
      <w:pPr>
        <w:spacing w:line="360" w:lineRule="auto"/>
        <w:ind w:firstLine="480" w:firstLineChars="200"/>
        <w:rPr>
          <w:bCs/>
          <w:color w:val="000000"/>
          <w:sz w:val="24"/>
        </w:rPr>
      </w:pPr>
    </w:p>
    <w:p w14:paraId="68339D5D">
      <w:pPr>
        <w:spacing w:line="360" w:lineRule="auto"/>
        <w:ind w:firstLine="482" w:firstLineChars="200"/>
        <w:rPr>
          <w:b/>
          <w:bCs/>
          <w:color w:val="000000"/>
          <w:sz w:val="24"/>
        </w:rPr>
      </w:pPr>
      <w:r>
        <w:rPr>
          <w:b/>
          <w:bCs/>
          <w:color w:val="000000"/>
          <w:sz w:val="24"/>
        </w:rPr>
        <w:t>第十条 售后服务</w:t>
      </w:r>
    </w:p>
    <w:p w14:paraId="3C060B79">
      <w:pPr>
        <w:spacing w:line="360" w:lineRule="auto"/>
        <w:ind w:firstLine="480" w:firstLineChars="200"/>
        <w:rPr>
          <w:rFonts w:ascii="宋体" w:hAnsi="宋体" w:cs="宋体"/>
          <w:color w:val="000000"/>
          <w:sz w:val="24"/>
        </w:rPr>
      </w:pPr>
      <w:r>
        <w:rPr>
          <w:rFonts w:hint="eastAsia" w:ascii="宋体" w:hAnsi="宋体" w:cs="宋体"/>
          <w:color w:val="000000"/>
          <w:sz w:val="24"/>
        </w:rPr>
        <w:t>（一）乙方应在交货时提供原产商质量保证和售后服务承诺书。在质量保证期内设备发生故障，乙方应提供原厂商售后维修和更换零件服务（不额外收费）。质保期后，乙方提供设备终身技术支持，包括故障排除和零配件的供应、仪器软件升级和培训，数据库可扩充等（不额外收费）；设备出现故障需更换配件时，只收取零配件费用，免收其它费用，并承诺按最优惠价格提供零配件。</w:t>
      </w:r>
    </w:p>
    <w:p w14:paraId="6A97505A">
      <w:pPr>
        <w:spacing w:line="360" w:lineRule="auto"/>
        <w:ind w:firstLine="480" w:firstLineChars="200"/>
        <w:rPr>
          <w:rFonts w:ascii="宋体" w:hAnsi="宋体" w:cs="宋体"/>
          <w:color w:val="000000"/>
          <w:sz w:val="24"/>
        </w:rPr>
      </w:pPr>
      <w:r>
        <w:rPr>
          <w:rFonts w:hint="eastAsia" w:ascii="宋体" w:hAnsi="宋体" w:cs="宋体"/>
          <w:color w:val="000000"/>
          <w:sz w:val="24"/>
        </w:rPr>
        <w:t>（二）乙方负责将设备运至需求单位指定的地点，负责</w:t>
      </w:r>
      <w:r>
        <w:rPr>
          <w:rFonts w:hint="eastAsia" w:ascii="宋体" w:hAnsi="宋体" w:cs="宋体"/>
          <w:color w:val="000000"/>
          <w:sz w:val="24"/>
          <w:lang w:eastAsia="zh-CN"/>
        </w:rPr>
        <w:t>调试</w:t>
      </w:r>
      <w:r>
        <w:rPr>
          <w:rFonts w:hint="eastAsia" w:ascii="宋体" w:hAnsi="宋体" w:cs="宋体"/>
          <w:color w:val="000000"/>
          <w:sz w:val="24"/>
        </w:rPr>
        <w:t>，现场培训及技术应用培训。中标价应包含产品的制造、材料费（主材及辅材）、运输、培训、验收、保修、税收、所有手续费等直至验收合格交付需求单位使用的所有相关费用。中标价格在中标后的合同实施期间应保持不变，即不因市场价格或政策性价格的调整而增减（若因乙方责任而导致的需方依据合同条款对乙方的扣款处罚除外）。</w:t>
      </w:r>
    </w:p>
    <w:p w14:paraId="16B95994">
      <w:pPr>
        <w:spacing w:line="360" w:lineRule="auto"/>
        <w:ind w:firstLine="480" w:firstLineChars="200"/>
        <w:rPr>
          <w:rFonts w:ascii="宋体" w:hAnsi="宋体" w:cs="宋体"/>
          <w:color w:val="000000"/>
          <w:sz w:val="24"/>
        </w:rPr>
      </w:pPr>
      <w:r>
        <w:rPr>
          <w:rFonts w:hint="eastAsia" w:ascii="宋体" w:hAnsi="宋体" w:cs="宋体"/>
          <w:color w:val="000000"/>
          <w:sz w:val="24"/>
        </w:rPr>
        <w:t>（三）货到后，乙方负责派技术人员到现场进行调试，直至验收合格。</w:t>
      </w:r>
    </w:p>
    <w:p w14:paraId="18436F28">
      <w:pPr>
        <w:spacing w:line="360" w:lineRule="auto"/>
        <w:ind w:firstLine="480" w:firstLineChars="200"/>
      </w:pPr>
      <w:r>
        <w:rPr>
          <w:rFonts w:hint="eastAsia" w:ascii="宋体" w:hAnsi="宋体" w:cs="宋体"/>
          <w:color w:val="000000"/>
          <w:sz w:val="24"/>
        </w:rPr>
        <w:t>（四）乙方能响应故障处理请求和电话咨询，具有7*24小时值班售后，自收到</w:t>
      </w:r>
      <w:r>
        <w:rPr>
          <w:rFonts w:hint="eastAsia" w:ascii="宋体" w:hAnsi="宋体" w:cs="宋体"/>
          <w:color w:val="000000"/>
          <w:sz w:val="24"/>
          <w:lang w:eastAsia="zh-CN"/>
        </w:rPr>
        <w:t>甲方</w:t>
      </w:r>
      <w:r>
        <w:rPr>
          <w:rFonts w:hint="eastAsia" w:ascii="宋体" w:hAnsi="宋体" w:cs="宋体"/>
          <w:color w:val="000000"/>
          <w:sz w:val="24"/>
        </w:rPr>
        <w:t>的服务请求起8小时内，如乙方或产品制造商技术支持人员不能解决故障，乙方或产品制造商应指派技术人员赶赴现场进行故障处理。质保期内凡因产品质量问题引起的不能正常使用的，一般情况不超过24小时排除故障，如需到现场维修时不超过72小时。乙方应提供维保人员名单、联系电话等。</w:t>
      </w:r>
    </w:p>
    <w:p w14:paraId="686FD831">
      <w:pPr>
        <w:spacing w:line="360" w:lineRule="auto"/>
        <w:ind w:firstLine="480" w:firstLineChars="200"/>
        <w:rPr>
          <w:rFonts w:ascii="宋体" w:hAnsi="宋体" w:cs="宋体"/>
          <w:color w:val="000000"/>
          <w:sz w:val="24"/>
        </w:rPr>
      </w:pPr>
      <w:r>
        <w:rPr>
          <w:rFonts w:hint="eastAsia" w:ascii="宋体" w:hAnsi="宋体" w:cs="宋体"/>
          <w:color w:val="000000"/>
          <w:sz w:val="24"/>
        </w:rPr>
        <w:t>（五）本合同所包含的售后服务，包含制造商售后服务和代理商售后服务。</w:t>
      </w:r>
    </w:p>
    <w:p w14:paraId="04CD25AD">
      <w:pPr>
        <w:spacing w:line="360" w:lineRule="auto"/>
        <w:ind w:firstLine="480" w:firstLineChars="200"/>
        <w:rPr>
          <w:color w:val="000000"/>
          <w:sz w:val="24"/>
        </w:rPr>
      </w:pPr>
    </w:p>
    <w:p w14:paraId="0F788EC9">
      <w:pPr>
        <w:spacing w:line="360" w:lineRule="auto"/>
        <w:ind w:firstLine="482" w:firstLineChars="200"/>
        <w:rPr>
          <w:b/>
          <w:bCs/>
          <w:color w:val="000000"/>
          <w:sz w:val="24"/>
        </w:rPr>
      </w:pPr>
      <w:r>
        <w:rPr>
          <w:b/>
          <w:bCs/>
          <w:color w:val="000000"/>
          <w:sz w:val="24"/>
        </w:rPr>
        <w:t>第十一条 违约责任</w:t>
      </w:r>
    </w:p>
    <w:p w14:paraId="3AB1CF43">
      <w:pPr>
        <w:spacing w:line="360" w:lineRule="auto"/>
        <w:ind w:firstLine="480" w:firstLineChars="200"/>
        <w:rPr>
          <w:color w:val="000000"/>
          <w:sz w:val="24"/>
        </w:rPr>
      </w:pPr>
      <w:r>
        <w:rPr>
          <w:color w:val="000000"/>
          <w:sz w:val="24"/>
        </w:rPr>
        <w:t>（一）因乙方原因未能按照本合同要求交付合格的货物或提供相关服务的违约责任。</w:t>
      </w:r>
    </w:p>
    <w:p w14:paraId="543EA395">
      <w:pPr>
        <w:spacing w:line="360" w:lineRule="auto"/>
        <w:ind w:firstLine="480" w:firstLineChars="200"/>
        <w:rPr>
          <w:color w:val="000000"/>
          <w:sz w:val="24"/>
        </w:rPr>
      </w:pPr>
      <w:r>
        <w:rPr>
          <w:color w:val="000000"/>
          <w:sz w:val="24"/>
        </w:rPr>
        <w:t>1.对于货物被证实存在缺陷（包括潜在的缺陷）</w:t>
      </w:r>
      <w:r>
        <w:rPr>
          <w:rFonts w:hint="eastAsia"/>
          <w:color w:val="000000"/>
          <w:sz w:val="24"/>
        </w:rPr>
        <w:t>、</w:t>
      </w:r>
      <w:r>
        <w:rPr>
          <w:color w:val="000000"/>
          <w:sz w:val="24"/>
        </w:rPr>
        <w:t>不符合合同要求或原材料、技术标准、尺寸、颜色等存在质量问题，在合同条款规定的检验、调试、验收和质量保证期内，甲方有权要求退货、退货重新制作、新货替换。乙方应按照甲方意见，用以下一种或几种方式结合解决：</w:t>
      </w:r>
    </w:p>
    <w:p w14:paraId="55B3B112">
      <w:pPr>
        <w:spacing w:line="360" w:lineRule="auto"/>
        <w:ind w:firstLine="480" w:firstLineChars="200"/>
        <w:rPr>
          <w:color w:val="000000"/>
          <w:sz w:val="24"/>
        </w:rPr>
      </w:pPr>
      <w:r>
        <w:rPr>
          <w:color w:val="000000"/>
          <w:sz w:val="24"/>
        </w:rPr>
        <w:t>（1）退货：甲方将货物退回乙方，乙方将合同货款退还给甲方，并承担由此发生的一切损失和费用。</w:t>
      </w:r>
    </w:p>
    <w:p w14:paraId="09B8D0DD">
      <w:pPr>
        <w:spacing w:line="360" w:lineRule="auto"/>
        <w:ind w:firstLine="480" w:firstLineChars="200"/>
        <w:rPr>
          <w:color w:val="000000"/>
          <w:sz w:val="24"/>
        </w:rPr>
      </w:pPr>
      <w:r>
        <w:rPr>
          <w:color w:val="000000"/>
          <w:sz w:val="24"/>
        </w:rPr>
        <w:t>（2）退货重新制作：甲方将货物退回乙方，乙方按照技术标准要求重新制作，并承担由此发生的一切损失和费用。</w:t>
      </w:r>
    </w:p>
    <w:p w14:paraId="6239139F">
      <w:pPr>
        <w:spacing w:line="360" w:lineRule="auto"/>
        <w:ind w:firstLine="480" w:firstLineChars="200"/>
        <w:rPr>
          <w:color w:val="000000"/>
          <w:sz w:val="24"/>
        </w:rPr>
      </w:pPr>
      <w:r>
        <w:rPr>
          <w:color w:val="000000"/>
          <w:sz w:val="24"/>
        </w:rPr>
        <w:t>（3）新货替换：乙方用满足技术标准要求的货物替换存在缺陷的产品，承担甲方蒙受的全部损失和费用，并承担由此引发的一切风险，且相应延长所换货物的质量保证期。</w:t>
      </w:r>
    </w:p>
    <w:p w14:paraId="25775D2B">
      <w:pPr>
        <w:spacing w:line="360" w:lineRule="auto"/>
        <w:ind w:firstLine="480" w:firstLineChars="200"/>
        <w:rPr>
          <w:color w:val="000000"/>
          <w:sz w:val="24"/>
        </w:rPr>
      </w:pPr>
      <w:r>
        <w:rPr>
          <w:color w:val="000000"/>
          <w:sz w:val="24"/>
        </w:rPr>
        <w:t>2.</w:t>
      </w:r>
      <w:r>
        <w:rPr>
          <w:bCs/>
          <w:color w:val="000000"/>
          <w:sz w:val="24"/>
        </w:rPr>
        <w:t>如果乙方</w:t>
      </w:r>
      <w:r>
        <w:rPr>
          <w:color w:val="000000"/>
          <w:sz w:val="24"/>
        </w:rPr>
        <w:t>未在甲方要求的10</w:t>
      </w:r>
      <w:r>
        <w:rPr>
          <w:rFonts w:hint="eastAsia" w:ascii="宋体" w:hAnsi="宋体" w:cs="宋体"/>
          <w:szCs w:val="21"/>
        </w:rPr>
        <w:t>日历日</w:t>
      </w:r>
      <w:r>
        <w:rPr>
          <w:color w:val="000000"/>
          <w:sz w:val="24"/>
        </w:rPr>
        <w:t>内或甲方同意的期限内，按照上述任何一种方式采取补救措施，甲方有权解除合同，扣除全部履约保证金</w:t>
      </w:r>
      <w:r>
        <w:rPr>
          <w:rFonts w:hint="eastAsia"/>
          <w:color w:val="000000"/>
          <w:sz w:val="24"/>
        </w:rPr>
        <w:t>（如有）</w:t>
      </w:r>
      <w:r>
        <w:rPr>
          <w:color w:val="000000"/>
          <w:sz w:val="24"/>
        </w:rPr>
        <w:t>并要求乙方退回甲方已支付的货款，并视损失情况根据《中华人民共和国民法典（合同编）》有关规定追究其相关责任，赔偿甲方（用户）的全部损失。</w:t>
      </w:r>
    </w:p>
    <w:p w14:paraId="4C5B616D">
      <w:pPr>
        <w:pStyle w:val="552"/>
        <w:spacing w:line="360" w:lineRule="auto"/>
        <w:ind w:firstLine="480" w:firstLineChars="200"/>
        <w:rPr>
          <w:rFonts w:eastAsia="宋体"/>
          <w:color w:val="000000"/>
          <w:sz w:val="24"/>
          <w:szCs w:val="24"/>
        </w:rPr>
      </w:pPr>
      <w:r>
        <w:rPr>
          <w:rFonts w:eastAsia="宋体"/>
          <w:color w:val="000000"/>
          <w:sz w:val="24"/>
          <w:szCs w:val="24"/>
        </w:rPr>
        <w:t>3.对于未能按合同要求提供服务或被证实未提供应当承担的服务的，甲方有权要求限期整改。无合理理由不进行整改的视为根本违约。</w:t>
      </w:r>
    </w:p>
    <w:p w14:paraId="351690B5">
      <w:pPr>
        <w:spacing w:line="360" w:lineRule="auto"/>
        <w:ind w:firstLine="480" w:firstLineChars="200"/>
        <w:rPr>
          <w:color w:val="000000"/>
          <w:sz w:val="24"/>
        </w:rPr>
      </w:pPr>
      <w:r>
        <w:rPr>
          <w:color w:val="000000"/>
          <w:sz w:val="24"/>
        </w:rPr>
        <w:t>（二）乙方未按照本合同规定的时间交货和提供服务的违约责任。</w:t>
      </w:r>
    </w:p>
    <w:p w14:paraId="638D7CE1">
      <w:pPr>
        <w:pStyle w:val="553"/>
        <w:spacing w:line="360" w:lineRule="auto"/>
        <w:ind w:firstLine="480" w:firstLineChars="200"/>
        <w:rPr>
          <w:rFonts w:eastAsia="宋体"/>
          <w:color w:val="000000"/>
          <w:sz w:val="24"/>
          <w:szCs w:val="24"/>
        </w:rPr>
      </w:pPr>
      <w:r>
        <w:rPr>
          <w:rFonts w:eastAsia="宋体"/>
          <w:color w:val="000000"/>
          <w:sz w:val="24"/>
          <w:szCs w:val="24"/>
        </w:rPr>
        <w:t>1.在履行合同过程中，如果乙方遇到可能妨碍按时交货和提供服务的情形时，应及时以书面形式将延迟的事实、可能延迟的期限和理由通知甲方（用户）。甲方（用户）在收到乙方通知后，应尽快对情况进行评价，并确定是否同意延迟交货时间或延期提供服务，如甲方（用户）不同意延期，乙方仍应当按照约定的时间完成交货义务，如甲方（用户）同意延期，必须以双方签订的补充协议为准。</w:t>
      </w:r>
    </w:p>
    <w:p w14:paraId="113AD229">
      <w:pPr>
        <w:pStyle w:val="553"/>
        <w:spacing w:line="360" w:lineRule="auto"/>
        <w:ind w:firstLine="480" w:firstLineChars="200"/>
        <w:rPr>
          <w:rFonts w:eastAsia="宋体"/>
          <w:color w:val="000000"/>
          <w:sz w:val="24"/>
          <w:szCs w:val="24"/>
        </w:rPr>
      </w:pPr>
      <w:r>
        <w:rPr>
          <w:rFonts w:eastAsia="宋体"/>
          <w:color w:val="000000"/>
          <w:sz w:val="24"/>
          <w:szCs w:val="24"/>
        </w:rPr>
        <w:t>2.除甲乙双方另有约定外，如果乙方没有按照合同规定的时间交货和提供服务，甲方有权在不影响合同项下其他补救措施的情况下，要求乙方支付误期赔偿费，或从合同货款、履约保证金</w:t>
      </w:r>
      <w:r>
        <w:rPr>
          <w:rFonts w:hint="eastAsia" w:eastAsia="宋体"/>
          <w:color w:val="000000"/>
          <w:sz w:val="24"/>
          <w:szCs w:val="24"/>
        </w:rPr>
        <w:t>（如有）</w:t>
      </w:r>
      <w:r>
        <w:rPr>
          <w:rFonts w:eastAsia="宋体"/>
          <w:color w:val="000000"/>
          <w:sz w:val="24"/>
          <w:szCs w:val="24"/>
        </w:rPr>
        <w:t>中扣除误期赔偿费。赔偿费按每周迟交货物价格或未提供服务费用的百分之零点五（0.5%）计收，直到交货或提供服务为止。但误期赔偿费的最高限额不超过误期货物或服务合同价格的百分之十（10%）。一周按七（7）天计算，不足七（7）天按一周计算。</w:t>
      </w:r>
    </w:p>
    <w:p w14:paraId="18BA51EB">
      <w:pPr>
        <w:pStyle w:val="553"/>
        <w:spacing w:line="360" w:lineRule="auto"/>
        <w:ind w:firstLine="480" w:firstLineChars="200"/>
        <w:rPr>
          <w:rFonts w:eastAsia="宋体"/>
          <w:color w:val="000000"/>
          <w:sz w:val="24"/>
          <w:szCs w:val="24"/>
        </w:rPr>
      </w:pPr>
      <w:r>
        <w:rPr>
          <w:rFonts w:eastAsia="宋体"/>
          <w:color w:val="000000"/>
          <w:sz w:val="24"/>
          <w:szCs w:val="24"/>
        </w:rPr>
        <w:t>3.出现上述没有按照合同规定的时间交货和提供服务的情形时，甲方也可以选择解除合同，要求乙方退回甲方已支付货款、扣除履约保证金</w:t>
      </w:r>
      <w:r>
        <w:rPr>
          <w:rFonts w:hint="eastAsia" w:eastAsia="宋体"/>
          <w:color w:val="000000"/>
          <w:sz w:val="24"/>
          <w:szCs w:val="24"/>
        </w:rPr>
        <w:t>（如有）</w:t>
      </w:r>
      <w:r>
        <w:rPr>
          <w:rFonts w:eastAsia="宋体"/>
          <w:color w:val="000000"/>
          <w:sz w:val="24"/>
          <w:szCs w:val="24"/>
        </w:rPr>
        <w:t>并追究乙方相应违约责任、赔偿甲方（用户）的全部损失。</w:t>
      </w:r>
    </w:p>
    <w:p w14:paraId="0E313889">
      <w:pPr>
        <w:pStyle w:val="553"/>
        <w:spacing w:line="360" w:lineRule="auto"/>
        <w:ind w:firstLine="480" w:firstLineChars="200"/>
        <w:rPr>
          <w:rFonts w:eastAsia="宋体"/>
          <w:color w:val="000000"/>
          <w:sz w:val="24"/>
          <w:szCs w:val="24"/>
        </w:rPr>
      </w:pPr>
      <w:r>
        <w:rPr>
          <w:rFonts w:eastAsia="宋体"/>
          <w:color w:val="000000"/>
          <w:sz w:val="24"/>
          <w:szCs w:val="24"/>
        </w:rPr>
        <w:t>4.如合同被全部或部分解除，甲方可依其认为适当的条款和方法购买与未交货类似的货物，乙方应对购买类似货物所超出的那部分费用负责。同时，乙方应继续执行合同中未解除的部分。如乙方违约并经同意延期仍不能履行合同时，甲方有权解除合同，扣除履约保证金，且乙方应赔偿由此给甲方造成的损失。</w:t>
      </w:r>
    </w:p>
    <w:p w14:paraId="20B35F97">
      <w:pPr>
        <w:pStyle w:val="553"/>
        <w:spacing w:line="360" w:lineRule="auto"/>
        <w:ind w:firstLine="480" w:firstLineChars="200"/>
        <w:rPr>
          <w:rFonts w:eastAsia="宋体"/>
          <w:color w:val="000000"/>
          <w:sz w:val="24"/>
          <w:szCs w:val="24"/>
        </w:rPr>
      </w:pPr>
      <w:r>
        <w:rPr>
          <w:rFonts w:eastAsia="宋体"/>
          <w:color w:val="000000"/>
          <w:sz w:val="24"/>
          <w:szCs w:val="24"/>
        </w:rPr>
        <w:t>（三）因乙方或乙方工作人员或乙方相关方的作为或不作为行为致使甲方或第三方遭受人员人身伤害或财产损失的，乙方应承担全部赔偿责任，赔偿全部损失，且甲方有权以全部履约保证金作为违约金，解除本合同。</w:t>
      </w:r>
    </w:p>
    <w:p w14:paraId="32274884">
      <w:pPr>
        <w:pStyle w:val="554"/>
        <w:spacing w:line="360" w:lineRule="auto"/>
        <w:ind w:firstLine="480" w:firstLineChars="200"/>
        <w:rPr>
          <w:rFonts w:eastAsia="宋体"/>
          <w:color w:val="000000"/>
          <w:sz w:val="24"/>
          <w:szCs w:val="24"/>
        </w:rPr>
      </w:pPr>
      <w:r>
        <w:rPr>
          <w:rFonts w:eastAsia="宋体"/>
          <w:color w:val="000000"/>
          <w:sz w:val="24"/>
          <w:szCs w:val="24"/>
        </w:rPr>
        <w:t>（</w:t>
      </w:r>
      <w:r>
        <w:rPr>
          <w:rFonts w:hint="eastAsia" w:eastAsia="宋体"/>
          <w:color w:val="000000"/>
          <w:sz w:val="24"/>
          <w:szCs w:val="24"/>
        </w:rPr>
        <w:t>四</w:t>
      </w:r>
      <w:r>
        <w:rPr>
          <w:rFonts w:eastAsia="宋体"/>
          <w:color w:val="000000"/>
          <w:sz w:val="24"/>
          <w:szCs w:val="24"/>
        </w:rPr>
        <w:t>）在本合同履行过程中，如果有证据证明乙方根本无法履行合同的，甲方可以行使不安抗辩权，有权解除合同，并扣除履约保证金，如因乙方不能履行给甲方造成其他损失的，乙方应继续承担赔偿责任。</w:t>
      </w:r>
    </w:p>
    <w:p w14:paraId="5F770DE9">
      <w:pPr>
        <w:pStyle w:val="555"/>
        <w:spacing w:line="360" w:lineRule="auto"/>
        <w:ind w:firstLine="482" w:firstLineChars="200"/>
        <w:rPr>
          <w:rFonts w:eastAsia="宋体"/>
          <w:b/>
          <w:bCs/>
          <w:color w:val="000000"/>
          <w:sz w:val="24"/>
          <w:szCs w:val="24"/>
        </w:rPr>
      </w:pPr>
      <w:r>
        <w:rPr>
          <w:rFonts w:eastAsia="宋体"/>
          <w:b/>
          <w:bCs/>
          <w:color w:val="000000"/>
          <w:sz w:val="24"/>
          <w:szCs w:val="24"/>
        </w:rPr>
        <w:t>第十二条 异议的期限和方法</w:t>
      </w:r>
    </w:p>
    <w:p w14:paraId="744D40AE">
      <w:pPr>
        <w:pStyle w:val="555"/>
        <w:spacing w:line="360" w:lineRule="auto"/>
        <w:ind w:firstLine="480" w:firstLineChars="200"/>
        <w:rPr>
          <w:rFonts w:eastAsia="宋体"/>
          <w:color w:val="000000"/>
          <w:sz w:val="24"/>
          <w:szCs w:val="24"/>
        </w:rPr>
      </w:pPr>
      <w:r>
        <w:rPr>
          <w:rFonts w:eastAsia="宋体"/>
          <w:color w:val="000000"/>
          <w:sz w:val="24"/>
          <w:szCs w:val="24"/>
        </w:rPr>
        <w:t>（一）异议期限自质量保证期开始之日起3个月内。如果属于产品设计、材料、工艺或其他潜在的质量缺陷，甲方（用户）以书面形式提出异议及其处理意见。</w:t>
      </w:r>
    </w:p>
    <w:p w14:paraId="646329C0">
      <w:pPr>
        <w:pStyle w:val="555"/>
        <w:spacing w:line="360" w:lineRule="auto"/>
        <w:ind w:firstLine="480" w:firstLineChars="200"/>
        <w:rPr>
          <w:rFonts w:eastAsia="宋体"/>
          <w:color w:val="000000"/>
          <w:sz w:val="24"/>
          <w:szCs w:val="24"/>
        </w:rPr>
      </w:pPr>
      <w:r>
        <w:rPr>
          <w:rFonts w:eastAsia="宋体"/>
          <w:color w:val="000000"/>
          <w:sz w:val="24"/>
          <w:szCs w:val="24"/>
        </w:rPr>
        <w:t>（二）乙方接到甲方（用户）书面异议及其处理意见后，应在10日内到甲方（用户）项目现场处理，否则即视为默认甲方（用户）提出的异议和处理意见。</w:t>
      </w:r>
    </w:p>
    <w:p w14:paraId="51DEFF1A">
      <w:pPr>
        <w:pStyle w:val="555"/>
        <w:spacing w:line="360" w:lineRule="auto"/>
        <w:ind w:firstLine="482" w:firstLineChars="200"/>
        <w:rPr>
          <w:rFonts w:eastAsia="宋体"/>
          <w:b/>
          <w:bCs/>
          <w:color w:val="000000"/>
          <w:sz w:val="24"/>
          <w:szCs w:val="24"/>
        </w:rPr>
      </w:pPr>
      <w:r>
        <w:rPr>
          <w:rFonts w:eastAsia="宋体"/>
          <w:b/>
          <w:bCs/>
          <w:color w:val="000000"/>
          <w:sz w:val="24"/>
          <w:szCs w:val="24"/>
        </w:rPr>
        <w:t>第十三条 使用合同文件和资料</w:t>
      </w:r>
    </w:p>
    <w:p w14:paraId="3FE8E304">
      <w:pPr>
        <w:pStyle w:val="555"/>
        <w:spacing w:line="360" w:lineRule="auto"/>
        <w:ind w:firstLine="480" w:firstLineChars="200"/>
        <w:rPr>
          <w:rFonts w:eastAsia="宋体"/>
          <w:color w:val="000000"/>
          <w:sz w:val="24"/>
          <w:szCs w:val="24"/>
        </w:rPr>
      </w:pPr>
      <w:r>
        <w:rPr>
          <w:rFonts w:eastAsia="宋体"/>
          <w:color w:val="000000"/>
          <w:sz w:val="24"/>
          <w:szCs w:val="24"/>
        </w:rPr>
        <w:t>（一）没有甲方（用户）事先书面同意，乙方不得将由甲方或代表甲方提供的有关合同或任何合同条文、规格或资料等提供给乙方雇佣于履行本合同以外的任何其他人。即使向本合同的雇员提供，也应注意保密并限于履行本合同必须的范围。</w:t>
      </w:r>
    </w:p>
    <w:p w14:paraId="06B43AEB">
      <w:pPr>
        <w:pStyle w:val="555"/>
        <w:spacing w:line="360" w:lineRule="auto"/>
        <w:ind w:firstLine="480" w:firstLineChars="200"/>
        <w:rPr>
          <w:rFonts w:eastAsia="宋体"/>
          <w:color w:val="000000"/>
          <w:sz w:val="24"/>
          <w:szCs w:val="24"/>
        </w:rPr>
      </w:pPr>
      <w:r>
        <w:rPr>
          <w:rFonts w:eastAsia="宋体"/>
          <w:color w:val="000000"/>
          <w:sz w:val="24"/>
          <w:szCs w:val="24"/>
        </w:rPr>
        <w:t>（二）没有甲方（用户）事先书面同意，除了履行本合同之外，乙方不应使用、传播与本合同相关的任何文件、资料。</w:t>
      </w:r>
    </w:p>
    <w:p w14:paraId="741827F0">
      <w:pPr>
        <w:spacing w:line="360" w:lineRule="auto"/>
        <w:ind w:firstLine="482" w:firstLineChars="200"/>
        <w:rPr>
          <w:b/>
          <w:bCs/>
          <w:color w:val="000000"/>
          <w:sz w:val="24"/>
        </w:rPr>
      </w:pPr>
      <w:r>
        <w:rPr>
          <w:b/>
          <w:bCs/>
          <w:color w:val="000000"/>
          <w:sz w:val="24"/>
        </w:rPr>
        <w:t>第十四条 知识产权</w:t>
      </w:r>
    </w:p>
    <w:p w14:paraId="1C90D8FE">
      <w:pPr>
        <w:spacing w:line="360" w:lineRule="auto"/>
        <w:ind w:firstLine="480" w:firstLineChars="200"/>
        <w:rPr>
          <w:color w:val="000000"/>
          <w:sz w:val="24"/>
        </w:rPr>
      </w:pPr>
      <w:r>
        <w:rPr>
          <w:color w:val="000000"/>
          <w:sz w:val="24"/>
        </w:rPr>
        <w:t>（一）乙方应保证所提供的货物及服务不侵犯任何第三方的知识产权</w:t>
      </w:r>
      <w:r>
        <w:rPr>
          <w:rFonts w:hint="eastAsia"/>
          <w:color w:val="000000"/>
          <w:sz w:val="24"/>
        </w:rPr>
        <w:t>（</w:t>
      </w:r>
      <w:r>
        <w:rPr>
          <w:color w:val="000000"/>
          <w:sz w:val="24"/>
        </w:rPr>
        <w:t>专利权、商标权、版权等</w:t>
      </w:r>
      <w:r>
        <w:rPr>
          <w:rFonts w:hint="eastAsia"/>
          <w:color w:val="000000"/>
          <w:sz w:val="24"/>
        </w:rPr>
        <w:t>）</w:t>
      </w:r>
      <w:r>
        <w:rPr>
          <w:color w:val="000000"/>
          <w:sz w:val="24"/>
        </w:rPr>
        <w:t>及其他任何合法权益。如果甲方（用户）在使用乙方货物或服务的任何一部分过程中，遭致第三方索赔或主张权利的，乙方应当修正以避免侵权。</w:t>
      </w:r>
    </w:p>
    <w:p w14:paraId="107098FC">
      <w:pPr>
        <w:spacing w:line="360" w:lineRule="auto"/>
        <w:ind w:firstLine="480" w:firstLineChars="200"/>
        <w:rPr>
          <w:color w:val="000000"/>
          <w:sz w:val="24"/>
        </w:rPr>
      </w:pPr>
      <w:r>
        <w:rPr>
          <w:color w:val="000000"/>
          <w:sz w:val="24"/>
        </w:rPr>
        <w:t>（二）如果甲方（用户）在使用乙方货物或货物的任何一部分过程中，因侵犯第三方合法权益（包括但不限于知识产权）而遭致第三方索赔或主张权利的，乙方将自费为甲方（用户）应诉，并支付法院最终判决的甲方（用户）应支付第三方的一切费用、并赔偿甲方（用户）由此遭受的全部损失及支出的合理费用。</w:t>
      </w:r>
    </w:p>
    <w:p w14:paraId="33BD3A66">
      <w:pPr>
        <w:spacing w:line="360" w:lineRule="auto"/>
        <w:ind w:firstLine="480" w:firstLineChars="200"/>
        <w:rPr>
          <w:color w:val="000000"/>
          <w:sz w:val="24"/>
        </w:rPr>
      </w:pPr>
      <w:r>
        <w:rPr>
          <w:color w:val="000000"/>
          <w:sz w:val="24"/>
        </w:rPr>
        <w:t>（三）如乙方提供的货物或服务确实侵犯了第三方合法权益（包括但不限于知识产权）的，甲方有权解除合同，扣除履约保证金</w:t>
      </w:r>
      <w:r>
        <w:rPr>
          <w:rFonts w:hint="eastAsia"/>
          <w:color w:val="000000"/>
          <w:sz w:val="24"/>
        </w:rPr>
        <w:t>（如有）</w:t>
      </w:r>
      <w:r>
        <w:rPr>
          <w:color w:val="000000"/>
          <w:sz w:val="24"/>
        </w:rPr>
        <w:t>，要求乙方退回甲方（用户）已支付的全部货款，并赔偿甲方的全部损失及支出的合理费用。</w:t>
      </w:r>
    </w:p>
    <w:p w14:paraId="3D2E8F2C">
      <w:pPr>
        <w:spacing w:line="360" w:lineRule="auto"/>
        <w:ind w:firstLine="482" w:firstLineChars="200"/>
        <w:rPr>
          <w:b/>
          <w:bCs/>
          <w:color w:val="000000"/>
          <w:sz w:val="24"/>
        </w:rPr>
      </w:pPr>
      <w:r>
        <w:rPr>
          <w:b/>
          <w:bCs/>
          <w:color w:val="000000"/>
          <w:sz w:val="24"/>
        </w:rPr>
        <w:t>第十五条 权利瑕疵担保</w:t>
      </w:r>
    </w:p>
    <w:p w14:paraId="24B29EF8">
      <w:pPr>
        <w:spacing w:line="360" w:lineRule="auto"/>
        <w:ind w:firstLine="480" w:firstLineChars="200"/>
        <w:rPr>
          <w:color w:val="000000"/>
          <w:sz w:val="24"/>
        </w:rPr>
      </w:pPr>
      <w:r>
        <w:rPr>
          <w:color w:val="000000"/>
          <w:sz w:val="24"/>
        </w:rPr>
        <w:t>（一）乙方保证对其所提供的货物享有完全的所有权等合法权利，不存在任何未曾向甲方（用户）透露的担保物权（如抵押权、质押权、留置权等）或其他任何权利负担或争议。</w:t>
      </w:r>
    </w:p>
    <w:p w14:paraId="4C02C42A">
      <w:pPr>
        <w:pStyle w:val="556"/>
        <w:spacing w:line="360" w:lineRule="auto"/>
        <w:ind w:firstLine="480" w:firstLineChars="200"/>
        <w:rPr>
          <w:rFonts w:eastAsia="宋体"/>
          <w:color w:val="000000"/>
          <w:sz w:val="24"/>
          <w:szCs w:val="24"/>
        </w:rPr>
      </w:pPr>
      <w:r>
        <w:rPr>
          <w:rFonts w:eastAsia="宋体"/>
          <w:color w:val="000000"/>
          <w:sz w:val="24"/>
          <w:szCs w:val="24"/>
        </w:rPr>
        <w:t>（二）乙方应保证所提供的货物免受第三方提出的任何权利主张，如因第三方提出权利主张给甲方（用户）造成损失的，乙方应予以赔偿。</w:t>
      </w:r>
    </w:p>
    <w:p w14:paraId="1431BC2E">
      <w:pPr>
        <w:spacing w:line="360" w:lineRule="auto"/>
        <w:ind w:firstLine="480" w:firstLineChars="200"/>
        <w:rPr>
          <w:color w:val="000000"/>
          <w:sz w:val="24"/>
        </w:rPr>
      </w:pPr>
      <w:r>
        <w:rPr>
          <w:color w:val="000000"/>
          <w:sz w:val="24"/>
        </w:rPr>
        <w:t>（三）如乙方所提供的货物存在前述担保货物或权利负担，甲方（用户）有权解除合同、扣除履约保证金</w:t>
      </w:r>
      <w:r>
        <w:rPr>
          <w:rFonts w:hint="eastAsia"/>
          <w:color w:val="000000"/>
          <w:sz w:val="24"/>
        </w:rPr>
        <w:t>（如有）</w:t>
      </w:r>
      <w:r>
        <w:rPr>
          <w:color w:val="000000"/>
          <w:sz w:val="24"/>
        </w:rPr>
        <w:t>，并要求乙方退还甲方（用户）已支付的全部货款，赔偿甲方（用户）的全部损失及支出的合理费用。</w:t>
      </w:r>
    </w:p>
    <w:p w14:paraId="3325ABE3">
      <w:pPr>
        <w:spacing w:line="360" w:lineRule="auto"/>
        <w:ind w:firstLine="482" w:firstLineChars="200"/>
        <w:rPr>
          <w:b/>
          <w:bCs/>
          <w:color w:val="000000"/>
          <w:sz w:val="24"/>
        </w:rPr>
      </w:pPr>
      <w:r>
        <w:rPr>
          <w:b/>
          <w:bCs/>
          <w:color w:val="000000"/>
          <w:sz w:val="24"/>
        </w:rPr>
        <w:t>第十六条 不可抗力及其免责</w:t>
      </w:r>
    </w:p>
    <w:p w14:paraId="6DA5D7CC">
      <w:pPr>
        <w:spacing w:line="360" w:lineRule="auto"/>
        <w:ind w:firstLine="480" w:firstLineChars="200"/>
        <w:rPr>
          <w:color w:val="000000"/>
          <w:sz w:val="24"/>
        </w:rPr>
      </w:pPr>
      <w:r>
        <w:rPr>
          <w:color w:val="000000"/>
          <w:sz w:val="24"/>
        </w:rPr>
        <w:t>（一）如果乙方因不可抗力而导致合同实施延误或不能履行合同义务时，在不可抗力影响的范围内不应该被</w:t>
      </w:r>
      <w:r>
        <w:rPr>
          <w:rFonts w:hint="eastAsia"/>
          <w:color w:val="000000"/>
          <w:sz w:val="24"/>
        </w:rPr>
        <w:t>扣除</w:t>
      </w:r>
      <w:r>
        <w:rPr>
          <w:color w:val="000000"/>
          <w:sz w:val="24"/>
        </w:rPr>
        <w:t>履约保证金</w:t>
      </w:r>
      <w:r>
        <w:rPr>
          <w:rFonts w:hint="eastAsia"/>
          <w:color w:val="000000"/>
          <w:sz w:val="24"/>
        </w:rPr>
        <w:t>（如有）</w:t>
      </w:r>
      <w:r>
        <w:rPr>
          <w:color w:val="000000"/>
          <w:sz w:val="24"/>
        </w:rPr>
        <w:t>，也不承担误期赔偿或终止合同的责任。</w:t>
      </w:r>
    </w:p>
    <w:p w14:paraId="143D6CC3">
      <w:pPr>
        <w:spacing w:line="360" w:lineRule="auto"/>
        <w:ind w:firstLine="480" w:firstLineChars="200"/>
        <w:rPr>
          <w:color w:val="000000"/>
          <w:sz w:val="24"/>
        </w:rPr>
      </w:pPr>
      <w:r>
        <w:rPr>
          <w:color w:val="000000"/>
          <w:sz w:val="24"/>
        </w:rPr>
        <w:t>（二）在不可抗力事件发生后，乙方应尽快以书面形式将不可抗力的情况和原因通知甲方，除甲方（用户）书面另行要求外，乙方应尽实际可能继续履行合同义务，以及寻求采取合理的方案履行不受不可抗力影响的其他事项。如果不可抗力事件影响延续超过一百二十天，双方应通过友好协商在合理的时间内就进一步实施合同达成协议。</w:t>
      </w:r>
    </w:p>
    <w:p w14:paraId="375834B2">
      <w:pPr>
        <w:spacing w:line="360" w:lineRule="auto"/>
        <w:ind w:firstLine="480" w:firstLineChars="200"/>
        <w:rPr>
          <w:color w:val="000000"/>
          <w:sz w:val="24"/>
        </w:rPr>
      </w:pPr>
      <w:r>
        <w:rPr>
          <w:color w:val="000000"/>
          <w:sz w:val="24"/>
        </w:rPr>
        <w:t>（三）乙方在延迟履行合同期间由于不可抗力而不能履行合同的，不能被免除责任。</w:t>
      </w:r>
    </w:p>
    <w:p w14:paraId="71B8521E">
      <w:pPr>
        <w:spacing w:line="360" w:lineRule="auto"/>
        <w:ind w:firstLine="480" w:firstLineChars="200"/>
        <w:rPr>
          <w:color w:val="000000"/>
          <w:sz w:val="24"/>
        </w:rPr>
      </w:pPr>
      <w:r>
        <w:rPr>
          <w:color w:val="000000"/>
          <w:sz w:val="24"/>
        </w:rPr>
        <w:t>（四）甲方（用户）如遇不可抗力，应尽快以书面形式通知乙方，并尽实际可能履行不受不可抗力影响的其他事项。甲方（用户）不承担因不可抗力不能履行合同所造成的损失。</w:t>
      </w:r>
    </w:p>
    <w:p w14:paraId="2C17D435">
      <w:pPr>
        <w:spacing w:line="360" w:lineRule="auto"/>
        <w:ind w:firstLine="480" w:firstLineChars="200"/>
        <w:rPr>
          <w:color w:val="000000"/>
          <w:sz w:val="24"/>
        </w:rPr>
      </w:pPr>
      <w:r>
        <w:rPr>
          <w:color w:val="000000"/>
          <w:sz w:val="24"/>
        </w:rPr>
        <w:t>（五）本条所述的“不可抗力”指那些不能预见、不能避免并不能克服的客观情况，包括但不限于战争、动乱、严重火灾、洪水、台风、地震等及其他双方同意的情况，但不包括违约或疏忽。</w:t>
      </w:r>
    </w:p>
    <w:p w14:paraId="296C502B">
      <w:pPr>
        <w:spacing w:line="360" w:lineRule="auto"/>
        <w:ind w:firstLine="482" w:firstLineChars="200"/>
        <w:rPr>
          <w:b/>
          <w:bCs/>
          <w:color w:val="000000"/>
          <w:sz w:val="24"/>
        </w:rPr>
      </w:pPr>
      <w:r>
        <w:rPr>
          <w:b/>
          <w:bCs/>
          <w:color w:val="000000"/>
          <w:sz w:val="24"/>
        </w:rPr>
        <w:t>第十七条 争议的解决</w:t>
      </w:r>
    </w:p>
    <w:p w14:paraId="26471074">
      <w:pPr>
        <w:spacing w:line="360" w:lineRule="auto"/>
        <w:ind w:firstLine="480" w:firstLineChars="200"/>
        <w:rPr>
          <w:color w:val="000000"/>
          <w:sz w:val="24"/>
        </w:rPr>
      </w:pPr>
      <w:r>
        <w:rPr>
          <w:color w:val="000000"/>
          <w:sz w:val="24"/>
        </w:rPr>
        <w:t>合同实施或与合同有关的一切争议应通过双方友好协商解决。如果友好协商</w:t>
      </w:r>
      <w:r>
        <w:rPr>
          <w:rFonts w:hint="eastAsia"/>
          <w:color w:val="000000"/>
          <w:sz w:val="24"/>
        </w:rPr>
        <w:t>开始六十天内</w:t>
      </w:r>
      <w:r>
        <w:rPr>
          <w:color w:val="000000"/>
          <w:sz w:val="24"/>
        </w:rPr>
        <w:t>还不能解决，</w:t>
      </w:r>
      <w:r>
        <w:rPr>
          <w:rFonts w:hint="eastAsia"/>
          <w:color w:val="000000"/>
          <w:sz w:val="24"/>
        </w:rPr>
        <w:t>合同双方均可向甲方所在地人民法院提起诉讼。</w:t>
      </w:r>
      <w:r>
        <w:rPr>
          <w:color w:val="000000"/>
          <w:sz w:val="24"/>
        </w:rPr>
        <w:t>在</w:t>
      </w:r>
      <w:r>
        <w:rPr>
          <w:rFonts w:hint="eastAsia"/>
          <w:color w:val="000000"/>
          <w:sz w:val="24"/>
        </w:rPr>
        <w:t>诉讼</w:t>
      </w:r>
      <w:r>
        <w:rPr>
          <w:color w:val="000000"/>
          <w:sz w:val="24"/>
        </w:rPr>
        <w:t>期间，除正在进行</w:t>
      </w:r>
      <w:r>
        <w:rPr>
          <w:rFonts w:hint="eastAsia"/>
          <w:color w:val="000000"/>
          <w:sz w:val="24"/>
        </w:rPr>
        <w:t>诉讼</w:t>
      </w:r>
      <w:r>
        <w:rPr>
          <w:color w:val="000000"/>
          <w:sz w:val="24"/>
        </w:rPr>
        <w:t>的部分外，本合同其他部分应继续履行。</w:t>
      </w:r>
    </w:p>
    <w:p w14:paraId="0588B16E">
      <w:pPr>
        <w:spacing w:line="360" w:lineRule="auto"/>
        <w:ind w:firstLine="482" w:firstLineChars="200"/>
        <w:rPr>
          <w:b/>
          <w:bCs/>
          <w:color w:val="000000"/>
          <w:sz w:val="24"/>
        </w:rPr>
      </w:pPr>
      <w:r>
        <w:rPr>
          <w:b/>
          <w:bCs/>
          <w:color w:val="000000"/>
          <w:sz w:val="24"/>
        </w:rPr>
        <w:t>第十八条 合同修改或变更</w:t>
      </w:r>
    </w:p>
    <w:p w14:paraId="599EAA4F">
      <w:pPr>
        <w:spacing w:line="360" w:lineRule="auto"/>
        <w:ind w:firstLine="480" w:firstLineChars="200"/>
        <w:rPr>
          <w:color w:val="000000"/>
          <w:sz w:val="24"/>
        </w:rPr>
      </w:pPr>
      <w:r>
        <w:rPr>
          <w:color w:val="000000"/>
          <w:sz w:val="24"/>
        </w:rPr>
        <w:t>（一）如无重大变故，甲乙双方不得擅自变更合同。</w:t>
      </w:r>
    </w:p>
    <w:p w14:paraId="0C3ED634">
      <w:pPr>
        <w:spacing w:line="360" w:lineRule="auto"/>
        <w:ind w:firstLine="480" w:firstLineChars="200"/>
        <w:rPr>
          <w:color w:val="000000"/>
          <w:sz w:val="24"/>
        </w:rPr>
      </w:pPr>
      <w:r>
        <w:rPr>
          <w:color w:val="000000"/>
          <w:sz w:val="24"/>
        </w:rPr>
        <w:t>（二）如确需变更合同，甲乙双方应签署书面变更协议。变更协议为本合同不可分割的一部分。</w:t>
      </w:r>
    </w:p>
    <w:p w14:paraId="252217AB">
      <w:pPr>
        <w:spacing w:line="360" w:lineRule="auto"/>
        <w:ind w:firstLine="480" w:firstLineChars="200"/>
        <w:rPr>
          <w:color w:val="000000"/>
          <w:sz w:val="24"/>
        </w:rPr>
      </w:pPr>
      <w:r>
        <w:rPr>
          <w:color w:val="000000"/>
          <w:sz w:val="24"/>
        </w:rPr>
        <w:t>（三）在不改变合同其他条款的前提下，甲方（用户）有权在合同价款10%的范围内追加与合同标的相同的货物或服务，并就此与乙方签订补充合同，乙方不得拒绝。</w:t>
      </w:r>
    </w:p>
    <w:p w14:paraId="3059CF09">
      <w:pPr>
        <w:spacing w:line="360" w:lineRule="auto"/>
        <w:ind w:firstLine="482" w:firstLineChars="200"/>
        <w:rPr>
          <w:b/>
          <w:bCs/>
          <w:color w:val="000000"/>
          <w:sz w:val="24"/>
        </w:rPr>
      </w:pPr>
      <w:r>
        <w:rPr>
          <w:b/>
          <w:bCs/>
          <w:color w:val="000000"/>
          <w:sz w:val="24"/>
        </w:rPr>
        <w:t>第十九条 合同中止</w:t>
      </w:r>
    </w:p>
    <w:p w14:paraId="6CF7518B">
      <w:pPr>
        <w:spacing w:line="360" w:lineRule="auto"/>
        <w:ind w:firstLine="480" w:firstLineChars="200"/>
        <w:rPr>
          <w:color w:val="000000"/>
          <w:sz w:val="24"/>
        </w:rPr>
      </w:pPr>
      <w:r>
        <w:rPr>
          <w:color w:val="000000"/>
          <w:sz w:val="24"/>
        </w:rPr>
        <w:t>（一）合同在履行过程中，因采购计划调整，甲方（用户）可以要求中止履行，待计划确定后继续履行。</w:t>
      </w:r>
    </w:p>
    <w:p w14:paraId="1F3CD0F9">
      <w:pPr>
        <w:spacing w:line="360" w:lineRule="auto"/>
        <w:ind w:firstLine="480" w:firstLineChars="200"/>
        <w:rPr>
          <w:color w:val="000000"/>
          <w:sz w:val="24"/>
        </w:rPr>
      </w:pPr>
      <w:r>
        <w:rPr>
          <w:color w:val="000000"/>
          <w:sz w:val="24"/>
        </w:rPr>
        <w:t>（二）合同签订或履行过程中因其他供应商就采购过程或结果提起质疑、投诉、行政复议、行政诉讼的，甲方（用户）认为有必要或财政部责令中止的，应当中止合同的履行。</w:t>
      </w:r>
    </w:p>
    <w:p w14:paraId="42AB82C7">
      <w:pPr>
        <w:spacing w:line="360" w:lineRule="auto"/>
        <w:ind w:firstLine="482" w:firstLineChars="200"/>
        <w:rPr>
          <w:b/>
          <w:bCs/>
          <w:color w:val="000000"/>
          <w:sz w:val="24"/>
        </w:rPr>
      </w:pPr>
      <w:r>
        <w:rPr>
          <w:b/>
          <w:bCs/>
          <w:color w:val="000000"/>
          <w:sz w:val="24"/>
        </w:rPr>
        <w:t>第二十条 合同解除</w:t>
      </w:r>
    </w:p>
    <w:p w14:paraId="74A21234">
      <w:pPr>
        <w:spacing w:line="360" w:lineRule="auto"/>
        <w:ind w:firstLine="480" w:firstLineChars="200"/>
        <w:rPr>
          <w:color w:val="000000"/>
          <w:sz w:val="24"/>
        </w:rPr>
      </w:pPr>
      <w:r>
        <w:rPr>
          <w:color w:val="000000"/>
          <w:sz w:val="24"/>
        </w:rPr>
        <w:t>由于合同一方不履行合同或严重违反合同，造成合同部分或全部无法履行时，对方除有权向违约方索赔外，并有权部分或全部解除合同。对于部分解除的合同，违约方除应承担规定的责任外，还应继续履行合同的剩余部分。</w:t>
      </w:r>
    </w:p>
    <w:p w14:paraId="5D4FDF2C">
      <w:pPr>
        <w:spacing w:line="360" w:lineRule="auto"/>
        <w:ind w:firstLine="480" w:firstLineChars="200"/>
        <w:rPr>
          <w:color w:val="000000"/>
          <w:sz w:val="24"/>
        </w:rPr>
      </w:pPr>
      <w:r>
        <w:rPr>
          <w:color w:val="000000"/>
          <w:sz w:val="24"/>
        </w:rPr>
        <w:t>（一）因违约解除合同</w:t>
      </w:r>
    </w:p>
    <w:p w14:paraId="3B1F1C62">
      <w:pPr>
        <w:spacing w:line="360" w:lineRule="auto"/>
        <w:ind w:firstLine="480" w:firstLineChars="200"/>
        <w:rPr>
          <w:color w:val="000000"/>
          <w:sz w:val="24"/>
        </w:rPr>
      </w:pPr>
      <w:r>
        <w:rPr>
          <w:color w:val="000000"/>
          <w:sz w:val="24"/>
        </w:rPr>
        <w:t>1.在甲方（用户）对乙方违约而采取的任何补救措施不受影响的情况下，甲方（用户）可向乙方发出书面违约通知书，提出解除部分或全部合同：</w:t>
      </w:r>
    </w:p>
    <w:p w14:paraId="2C36A4C0">
      <w:pPr>
        <w:spacing w:line="360" w:lineRule="auto"/>
        <w:ind w:firstLine="480" w:firstLineChars="200"/>
        <w:rPr>
          <w:color w:val="000000"/>
          <w:sz w:val="24"/>
        </w:rPr>
      </w:pPr>
      <w:r>
        <w:rPr>
          <w:color w:val="000000"/>
          <w:sz w:val="24"/>
        </w:rPr>
        <w:t>（1）如果乙方未能在合同规定的期限或甲方（用户）根据合同条款的规定同意延长的限期内提供部分或全部的货物或服务，达到合同所规定的要求；</w:t>
      </w:r>
    </w:p>
    <w:p w14:paraId="3166533A">
      <w:pPr>
        <w:pStyle w:val="557"/>
        <w:spacing w:line="360" w:lineRule="auto"/>
        <w:ind w:firstLine="480" w:firstLineChars="200"/>
        <w:rPr>
          <w:rFonts w:eastAsia="宋体"/>
          <w:color w:val="000000"/>
          <w:sz w:val="24"/>
          <w:szCs w:val="24"/>
        </w:rPr>
      </w:pPr>
      <w:r>
        <w:rPr>
          <w:rFonts w:eastAsia="宋体"/>
          <w:color w:val="000000"/>
          <w:sz w:val="24"/>
          <w:szCs w:val="24"/>
        </w:rPr>
        <w:t>（2）如果甲方（用户）发现乙方在本合同的竞争或实施中有欺诈行为。</w:t>
      </w:r>
    </w:p>
    <w:p w14:paraId="62A79EB8">
      <w:pPr>
        <w:spacing w:line="360" w:lineRule="auto"/>
        <w:ind w:firstLine="480" w:firstLineChars="200"/>
        <w:rPr>
          <w:color w:val="000000"/>
          <w:sz w:val="24"/>
        </w:rPr>
      </w:pPr>
      <w:r>
        <w:rPr>
          <w:color w:val="000000"/>
          <w:sz w:val="24"/>
        </w:rPr>
        <w:t>（3）如果乙方未能履行合同规定的其他任何义务。</w:t>
      </w:r>
    </w:p>
    <w:p w14:paraId="238C163A">
      <w:pPr>
        <w:spacing w:line="360" w:lineRule="auto"/>
        <w:ind w:firstLine="480" w:firstLineChars="200"/>
        <w:rPr>
          <w:color w:val="000000"/>
          <w:sz w:val="24"/>
        </w:rPr>
      </w:pPr>
      <w:r>
        <w:rPr>
          <w:color w:val="000000"/>
          <w:sz w:val="24"/>
        </w:rPr>
        <w:t>2.如果甲方（用户）根据上述规定与乙方全部或部分解除合同，</w:t>
      </w:r>
      <w:r>
        <w:rPr>
          <w:bCs/>
          <w:color w:val="000000"/>
          <w:sz w:val="24"/>
        </w:rPr>
        <w:t>甲方（用户）可以依其认为适当的条件和方法购买乙方未能提供的货物或服务，乙方应对甲方购买类似货物或服务所超出的费用负责</w:t>
      </w:r>
      <w:r>
        <w:rPr>
          <w:color w:val="000000"/>
          <w:sz w:val="24"/>
        </w:rPr>
        <w:t>。</w:t>
      </w:r>
      <w:r>
        <w:rPr>
          <w:bCs/>
          <w:color w:val="000000"/>
          <w:sz w:val="24"/>
        </w:rPr>
        <w:t>同时，乙方应继续执行合同中未解除的部分。</w:t>
      </w:r>
    </w:p>
    <w:p w14:paraId="20B3A768">
      <w:pPr>
        <w:spacing w:line="360" w:lineRule="auto"/>
        <w:ind w:firstLine="480" w:firstLineChars="200"/>
        <w:rPr>
          <w:color w:val="000000"/>
          <w:sz w:val="24"/>
        </w:rPr>
      </w:pPr>
      <w:r>
        <w:rPr>
          <w:color w:val="000000"/>
          <w:sz w:val="24"/>
        </w:rPr>
        <w:t>（二）因破产而解除合同</w:t>
      </w:r>
    </w:p>
    <w:p w14:paraId="1DD14F9A">
      <w:pPr>
        <w:spacing w:line="360" w:lineRule="auto"/>
        <w:ind w:firstLine="480" w:firstLineChars="200"/>
        <w:rPr>
          <w:color w:val="000000"/>
          <w:sz w:val="24"/>
        </w:rPr>
      </w:pPr>
      <w:r>
        <w:rPr>
          <w:color w:val="000000"/>
          <w:sz w:val="24"/>
        </w:rPr>
        <w:t>1.如果乙方破产或无清偿能力，甲方（用户）可在任何时候以书面形式通知乙方，提出解除合同而不给乙方补偿，并有权要求乙方退回甲方（用户）已支付的合同货款。</w:t>
      </w:r>
    </w:p>
    <w:p w14:paraId="10D5B79B">
      <w:pPr>
        <w:spacing w:line="360" w:lineRule="auto"/>
        <w:ind w:firstLine="480" w:firstLineChars="200"/>
        <w:rPr>
          <w:color w:val="000000"/>
          <w:sz w:val="24"/>
        </w:rPr>
      </w:pPr>
      <w:r>
        <w:rPr>
          <w:color w:val="000000"/>
          <w:sz w:val="24"/>
        </w:rPr>
        <w:t>2.该解除合同将不损害或影响甲方已经采取或将要采取的任何行动或补救措施的权利。</w:t>
      </w:r>
    </w:p>
    <w:p w14:paraId="291A8243">
      <w:pPr>
        <w:spacing w:line="360" w:lineRule="auto"/>
        <w:ind w:firstLine="480" w:firstLineChars="200"/>
        <w:rPr>
          <w:color w:val="000000"/>
          <w:sz w:val="24"/>
        </w:rPr>
      </w:pPr>
      <w:r>
        <w:rPr>
          <w:color w:val="000000"/>
          <w:sz w:val="24"/>
        </w:rPr>
        <w:t>（三）其他解除合同情况</w:t>
      </w:r>
    </w:p>
    <w:p w14:paraId="10508677">
      <w:pPr>
        <w:spacing w:line="360" w:lineRule="auto"/>
        <w:ind w:firstLine="480" w:firstLineChars="200"/>
        <w:rPr>
          <w:color w:val="000000"/>
          <w:sz w:val="24"/>
        </w:rPr>
      </w:pPr>
      <w:r>
        <w:rPr>
          <w:color w:val="000000"/>
          <w:sz w:val="24"/>
        </w:rPr>
        <w:t>1.若合同继续履行将给甲方造成重大损失的，甲方（用户）可以解除合同而不给予乙方任何补偿。</w:t>
      </w:r>
    </w:p>
    <w:p w14:paraId="516F1694">
      <w:pPr>
        <w:spacing w:line="360" w:lineRule="auto"/>
        <w:ind w:firstLine="480" w:firstLineChars="200"/>
        <w:rPr>
          <w:color w:val="000000"/>
          <w:sz w:val="24"/>
        </w:rPr>
      </w:pPr>
      <w:r>
        <w:rPr>
          <w:color w:val="000000"/>
          <w:sz w:val="24"/>
        </w:rPr>
        <w:t>2.乙方在执行合同的过程中发生重大变故，对履行合同有影响的，甲方（用户）可以解除合同而不给予乙方任何补偿。</w:t>
      </w:r>
    </w:p>
    <w:p w14:paraId="321C01D2">
      <w:pPr>
        <w:spacing w:line="360" w:lineRule="auto"/>
        <w:ind w:firstLine="480" w:firstLineChars="200"/>
        <w:rPr>
          <w:color w:val="000000"/>
          <w:sz w:val="24"/>
        </w:rPr>
      </w:pPr>
      <w:r>
        <w:rPr>
          <w:color w:val="000000"/>
          <w:sz w:val="24"/>
        </w:rPr>
        <w:t>3.甲方（用户）因重大变故取消或部分取消原来的采购任务，导致合同全部或部分内容无需继续履行的，可以解除合同而不给予乙方任何补偿。</w:t>
      </w:r>
    </w:p>
    <w:p w14:paraId="49961F11">
      <w:pPr>
        <w:spacing w:line="360" w:lineRule="auto"/>
        <w:ind w:firstLine="482" w:firstLineChars="200"/>
        <w:rPr>
          <w:b/>
          <w:bCs/>
          <w:color w:val="000000"/>
          <w:sz w:val="24"/>
        </w:rPr>
      </w:pPr>
      <w:r>
        <w:rPr>
          <w:b/>
          <w:bCs/>
          <w:color w:val="000000"/>
          <w:sz w:val="24"/>
        </w:rPr>
        <w:t>第二十一条 合同终止</w:t>
      </w:r>
    </w:p>
    <w:p w14:paraId="5C32D4C0">
      <w:pPr>
        <w:pStyle w:val="558"/>
        <w:autoSpaceDN w:val="0"/>
        <w:spacing w:line="360" w:lineRule="auto"/>
        <w:ind w:firstLine="480" w:firstLineChars="200"/>
        <w:jc w:val="left"/>
        <w:rPr>
          <w:snapToGrid w:val="0"/>
          <w:kern w:val="0"/>
          <w:sz w:val="24"/>
          <w:szCs w:val="24"/>
        </w:rPr>
      </w:pPr>
      <w:r>
        <w:rPr>
          <w:snapToGrid w:val="0"/>
          <w:kern w:val="0"/>
          <w:sz w:val="24"/>
          <w:szCs w:val="24"/>
        </w:rPr>
        <w:t>（一）本合同因下列原因而终止：</w:t>
      </w:r>
    </w:p>
    <w:p w14:paraId="5BA96BBF">
      <w:pPr>
        <w:pStyle w:val="558"/>
        <w:autoSpaceDN w:val="0"/>
        <w:spacing w:line="360" w:lineRule="auto"/>
        <w:ind w:firstLine="480" w:firstLineChars="200"/>
        <w:jc w:val="left"/>
        <w:rPr>
          <w:snapToGrid w:val="0"/>
          <w:kern w:val="0"/>
          <w:sz w:val="24"/>
          <w:szCs w:val="24"/>
        </w:rPr>
      </w:pPr>
      <w:r>
        <w:rPr>
          <w:snapToGrid w:val="0"/>
          <w:kern w:val="0"/>
          <w:sz w:val="24"/>
          <w:szCs w:val="24"/>
        </w:rPr>
        <w:t>1.本合同正常履行完毕；</w:t>
      </w:r>
    </w:p>
    <w:p w14:paraId="7ABAFC6C">
      <w:pPr>
        <w:pStyle w:val="558"/>
        <w:autoSpaceDN w:val="0"/>
        <w:spacing w:line="360" w:lineRule="auto"/>
        <w:ind w:firstLine="480" w:firstLineChars="200"/>
        <w:jc w:val="left"/>
        <w:rPr>
          <w:snapToGrid w:val="0"/>
          <w:kern w:val="0"/>
          <w:sz w:val="24"/>
          <w:szCs w:val="24"/>
        </w:rPr>
      </w:pPr>
      <w:r>
        <w:rPr>
          <w:snapToGrid w:val="0"/>
          <w:kern w:val="0"/>
          <w:sz w:val="24"/>
          <w:szCs w:val="24"/>
        </w:rPr>
        <w:t>2.合同双方协议终止本合同的履行；</w:t>
      </w:r>
    </w:p>
    <w:p w14:paraId="14AE294B">
      <w:pPr>
        <w:pStyle w:val="558"/>
        <w:autoSpaceDN w:val="0"/>
        <w:spacing w:line="360" w:lineRule="auto"/>
        <w:ind w:firstLine="480" w:firstLineChars="200"/>
        <w:jc w:val="left"/>
        <w:rPr>
          <w:snapToGrid w:val="0"/>
          <w:kern w:val="0"/>
          <w:sz w:val="24"/>
          <w:szCs w:val="24"/>
        </w:rPr>
      </w:pPr>
      <w:r>
        <w:rPr>
          <w:snapToGrid w:val="0"/>
          <w:kern w:val="0"/>
          <w:sz w:val="24"/>
          <w:szCs w:val="24"/>
        </w:rPr>
        <w:t>3.不可抗力事件导致本合同无法履行或履行不必要；</w:t>
      </w:r>
    </w:p>
    <w:p w14:paraId="4518C9F3">
      <w:pPr>
        <w:pStyle w:val="558"/>
        <w:autoSpaceDN w:val="0"/>
        <w:spacing w:line="360" w:lineRule="auto"/>
        <w:ind w:firstLine="480" w:firstLineChars="200"/>
        <w:jc w:val="left"/>
        <w:rPr>
          <w:snapToGrid w:val="0"/>
          <w:kern w:val="0"/>
          <w:sz w:val="24"/>
          <w:szCs w:val="24"/>
        </w:rPr>
      </w:pPr>
      <w:r>
        <w:rPr>
          <w:snapToGrid w:val="0"/>
          <w:kern w:val="0"/>
          <w:sz w:val="24"/>
          <w:szCs w:val="24"/>
        </w:rPr>
        <w:t>4.任何一方行使解除权，解除本合同；</w:t>
      </w:r>
    </w:p>
    <w:p w14:paraId="2E005087">
      <w:pPr>
        <w:pStyle w:val="558"/>
        <w:autoSpaceDN w:val="0"/>
        <w:spacing w:line="360" w:lineRule="auto"/>
        <w:ind w:firstLine="480" w:firstLineChars="200"/>
        <w:jc w:val="left"/>
        <w:rPr>
          <w:snapToGrid w:val="0"/>
          <w:kern w:val="0"/>
          <w:sz w:val="24"/>
          <w:szCs w:val="24"/>
        </w:rPr>
      </w:pPr>
      <w:r>
        <w:rPr>
          <w:snapToGrid w:val="0"/>
          <w:kern w:val="0"/>
          <w:sz w:val="24"/>
          <w:szCs w:val="24"/>
        </w:rPr>
        <w:t>（二）对本合同终止有过错的一方应赔偿另一方因合同终止而受到的损失。</w:t>
      </w:r>
    </w:p>
    <w:p w14:paraId="4CEBA225">
      <w:pPr>
        <w:spacing w:line="360" w:lineRule="auto"/>
        <w:ind w:firstLine="482" w:firstLineChars="200"/>
        <w:rPr>
          <w:b/>
          <w:bCs/>
          <w:color w:val="000000"/>
          <w:sz w:val="24"/>
        </w:rPr>
      </w:pPr>
      <w:r>
        <w:rPr>
          <w:b/>
          <w:bCs/>
          <w:color w:val="000000"/>
          <w:sz w:val="24"/>
        </w:rPr>
        <w:t>第二十二条 其他</w:t>
      </w:r>
    </w:p>
    <w:p w14:paraId="16F595C4">
      <w:pPr>
        <w:spacing w:line="360" w:lineRule="auto"/>
        <w:ind w:firstLine="480" w:firstLineChars="200"/>
        <w:rPr>
          <w:color w:val="000000"/>
          <w:sz w:val="24"/>
        </w:rPr>
      </w:pPr>
      <w:r>
        <w:rPr>
          <w:color w:val="000000"/>
          <w:sz w:val="24"/>
        </w:rPr>
        <w:t>中标通知书（成交通知书）、中标人的投标文件/应答文件、招标文件/谈判文件/询价通知书/磋商文件/单一来源</w:t>
      </w:r>
      <w:r>
        <w:rPr>
          <w:rFonts w:hint="eastAsia"/>
          <w:color w:val="000000"/>
          <w:sz w:val="24"/>
        </w:rPr>
        <w:t>采购文件</w:t>
      </w:r>
      <w:r>
        <w:rPr>
          <w:color w:val="000000"/>
          <w:sz w:val="24"/>
        </w:rPr>
        <w:t>、合同条款、合同附件（协商、变更的，明确双方权利义务的，以书面形式而表现出来的协议或书面通知或确认书等）是本合同不可分割的部分，与本合同具有同等法律效力。</w:t>
      </w:r>
    </w:p>
    <w:p w14:paraId="46702525">
      <w:pPr>
        <w:spacing w:line="360" w:lineRule="auto"/>
        <w:ind w:firstLine="482" w:firstLineChars="200"/>
        <w:rPr>
          <w:b/>
          <w:bCs/>
          <w:color w:val="000000"/>
          <w:sz w:val="24"/>
        </w:rPr>
      </w:pPr>
      <w:r>
        <w:rPr>
          <w:b/>
          <w:bCs/>
          <w:color w:val="000000"/>
          <w:sz w:val="24"/>
        </w:rPr>
        <w:t>第二十</w:t>
      </w:r>
      <w:r>
        <w:rPr>
          <w:rFonts w:hint="eastAsia"/>
          <w:b/>
          <w:bCs/>
          <w:color w:val="000000"/>
          <w:sz w:val="24"/>
        </w:rPr>
        <w:t>三</w:t>
      </w:r>
      <w:r>
        <w:rPr>
          <w:b/>
          <w:bCs/>
          <w:color w:val="000000"/>
          <w:sz w:val="24"/>
        </w:rPr>
        <w:t>条 合同生效</w:t>
      </w:r>
    </w:p>
    <w:p w14:paraId="5BAF9C1B">
      <w:pPr>
        <w:spacing w:line="360" w:lineRule="auto"/>
        <w:ind w:firstLine="480" w:firstLineChars="200"/>
        <w:rPr>
          <w:color w:val="000000"/>
          <w:sz w:val="24"/>
        </w:rPr>
      </w:pPr>
      <w:r>
        <w:rPr>
          <w:color w:val="000000"/>
          <w:sz w:val="24"/>
        </w:rPr>
        <w:t>本合同一式__ _份，甲方执__ _份，乙方执__ _份；自甲乙双方签字盖章之日起生效。对本合同的任何更改及补充，均需双方共同协商，并以书面形式盖章确认。</w:t>
      </w:r>
    </w:p>
    <w:p w14:paraId="7AE324AE">
      <w:pPr>
        <w:spacing w:line="540" w:lineRule="exact"/>
        <w:rPr>
          <w:rFonts w:hint="eastAsia"/>
          <w:color w:val="000000"/>
        </w:rPr>
      </w:pPr>
    </w:p>
    <w:p w14:paraId="5AAE55A6">
      <w:pPr>
        <w:spacing w:line="540" w:lineRule="exact"/>
        <w:rPr>
          <w:color w:val="000000"/>
        </w:rPr>
      </w:pPr>
      <w:r>
        <w:rPr>
          <w:rFonts w:hint="eastAsia"/>
          <w:color w:val="000000"/>
        </w:rPr>
        <w:t xml:space="preserve">甲方（公章或合同章）：            </w:t>
      </w:r>
      <w:r>
        <w:rPr>
          <w:color w:val="000000"/>
        </w:rPr>
        <w:t xml:space="preserve"> </w:t>
      </w:r>
      <w:r>
        <w:rPr>
          <w:rFonts w:hint="eastAsia"/>
          <w:color w:val="000000"/>
        </w:rPr>
        <w:t>乙方（公章或合同章）：</w:t>
      </w:r>
    </w:p>
    <w:p w14:paraId="2909FAB7">
      <w:pPr>
        <w:spacing w:line="540" w:lineRule="exact"/>
        <w:rPr>
          <w:color w:val="000000"/>
        </w:rPr>
      </w:pPr>
      <w:r>
        <w:rPr>
          <w:rFonts w:hint="eastAsia"/>
          <w:color w:val="000000"/>
        </w:rPr>
        <w:t>法定代表人</w:t>
      </w:r>
      <w:r>
        <w:rPr>
          <w:color w:val="000000"/>
        </w:rPr>
        <w:t xml:space="preserve">                        </w:t>
      </w:r>
      <w:r>
        <w:rPr>
          <w:rFonts w:hint="eastAsia"/>
          <w:color w:val="000000"/>
        </w:rPr>
        <w:t>法定代表人</w:t>
      </w:r>
    </w:p>
    <w:p w14:paraId="71CEE2E2">
      <w:pPr>
        <w:spacing w:line="540" w:lineRule="exact"/>
        <w:rPr>
          <w:color w:val="000000"/>
        </w:rPr>
      </w:pPr>
      <w:r>
        <w:rPr>
          <w:rFonts w:hint="eastAsia"/>
          <w:color w:val="000000"/>
        </w:rPr>
        <w:t>或授权签字人（签字）：             或授权签字人（签字）：</w:t>
      </w:r>
    </w:p>
    <w:p w14:paraId="5A3102C2">
      <w:pPr>
        <w:spacing w:line="540" w:lineRule="exact"/>
        <w:rPr>
          <w:color w:val="000000"/>
        </w:rPr>
      </w:pPr>
    </w:p>
    <w:p w14:paraId="3A53BE82">
      <w:pPr>
        <w:spacing w:line="540" w:lineRule="exact"/>
        <w:rPr>
          <w:color w:val="000000"/>
        </w:rPr>
      </w:pPr>
      <w:r>
        <w:rPr>
          <w:rFonts w:hint="eastAsia"/>
          <w:color w:val="000000"/>
        </w:rPr>
        <w:t>日期：</w:t>
      </w:r>
      <w:r>
        <w:rPr>
          <w:color w:val="000000"/>
        </w:rPr>
        <w:t xml:space="preserve"> </w:t>
      </w:r>
      <w:r>
        <w:rPr>
          <w:rFonts w:hint="eastAsia"/>
          <w:color w:val="000000"/>
        </w:rPr>
        <w:t xml:space="preserve">年  月  日               </w:t>
      </w:r>
      <w:r>
        <w:rPr>
          <w:color w:val="000000"/>
        </w:rPr>
        <w:t xml:space="preserve">  </w:t>
      </w:r>
      <w:r>
        <w:rPr>
          <w:rFonts w:hint="eastAsia"/>
          <w:color w:val="000000"/>
        </w:rPr>
        <w:t xml:space="preserve">日期：   年   月   日    </w:t>
      </w:r>
    </w:p>
    <w:p w14:paraId="54E9B2D2">
      <w:pPr>
        <w:spacing w:line="540" w:lineRule="exact"/>
        <w:rPr>
          <w:color w:val="000000"/>
        </w:rPr>
      </w:pPr>
      <w:r>
        <w:rPr>
          <w:rFonts w:hint="eastAsia"/>
          <w:color w:val="000000"/>
        </w:rPr>
        <w:t>联系人:                            联系人：</w:t>
      </w:r>
    </w:p>
    <w:p w14:paraId="7FB18E4A">
      <w:pPr>
        <w:spacing w:line="540" w:lineRule="exact"/>
        <w:rPr>
          <w:color w:val="000000"/>
        </w:rPr>
      </w:pPr>
      <w:r>
        <w:rPr>
          <w:rFonts w:hint="eastAsia"/>
          <w:color w:val="000000"/>
        </w:rPr>
        <w:t>电话:</w:t>
      </w:r>
      <w:r>
        <w:rPr>
          <w:color w:val="000000"/>
        </w:rPr>
        <w:t xml:space="preserve">     </w:t>
      </w:r>
      <w:r>
        <w:rPr>
          <w:rFonts w:hint="eastAsia"/>
          <w:color w:val="000000"/>
        </w:rPr>
        <w:t xml:space="preserve">                         电话：</w:t>
      </w:r>
    </w:p>
    <w:p w14:paraId="6A465E62">
      <w:pPr>
        <w:spacing w:line="540" w:lineRule="exact"/>
        <w:rPr>
          <w:color w:val="000000"/>
        </w:rPr>
      </w:pPr>
      <w:r>
        <w:rPr>
          <w:color w:val="000000"/>
        </w:rPr>
        <w:t>地址：                            地址：</w:t>
      </w:r>
    </w:p>
    <w:p w14:paraId="07162477"/>
    <w:p w14:paraId="586AA624">
      <w:pPr>
        <w:pStyle w:val="537"/>
        <w:autoSpaceDN w:val="0"/>
        <w:snapToGrid w:val="0"/>
        <w:spacing w:line="560" w:lineRule="exact"/>
        <w:rPr>
          <w:rFonts w:ascii="宋体" w:hAnsi="宋体" w:cs="宋体"/>
          <w:b/>
          <w:snapToGrid w:val="0"/>
          <w:kern w:val="0"/>
          <w:sz w:val="24"/>
          <w:szCs w:val="24"/>
        </w:rPr>
      </w:pPr>
      <w:r>
        <w:rPr>
          <w:rFonts w:hint="eastAsia" w:ascii="宋体" w:hAnsi="宋体" w:cs="宋体"/>
          <w:b/>
          <w:snapToGrid w:val="0"/>
          <w:kern w:val="0"/>
          <w:sz w:val="24"/>
          <w:szCs w:val="24"/>
        </w:rPr>
        <w:t>附件一：设备到货验收报告</w:t>
      </w:r>
    </w:p>
    <w:tbl>
      <w:tblPr>
        <w:tblStyle w:val="51"/>
        <w:tblW w:w="10534" w:type="dxa"/>
        <w:jc w:val="center"/>
        <w:tblLayout w:type="fixed"/>
        <w:tblCellMar>
          <w:top w:w="0" w:type="dxa"/>
          <w:left w:w="108" w:type="dxa"/>
          <w:bottom w:w="0" w:type="dxa"/>
          <w:right w:w="108" w:type="dxa"/>
        </w:tblCellMar>
      </w:tblPr>
      <w:tblGrid>
        <w:gridCol w:w="2921"/>
        <w:gridCol w:w="1589"/>
        <w:gridCol w:w="151"/>
        <w:gridCol w:w="1775"/>
        <w:gridCol w:w="2107"/>
        <w:gridCol w:w="1991"/>
      </w:tblGrid>
      <w:tr w14:paraId="20496B36">
        <w:tblPrEx>
          <w:tblCellMar>
            <w:top w:w="0" w:type="dxa"/>
            <w:left w:w="108" w:type="dxa"/>
            <w:bottom w:w="0" w:type="dxa"/>
            <w:right w:w="108" w:type="dxa"/>
          </w:tblCellMar>
        </w:tblPrEx>
        <w:trPr>
          <w:trHeight w:val="540" w:hRule="atLeast"/>
          <w:jc w:val="center"/>
        </w:trPr>
        <w:tc>
          <w:tcPr>
            <w:tcW w:w="2921" w:type="dxa"/>
            <w:tcBorders>
              <w:top w:val="single" w:color="000000" w:sz="18" w:space="0"/>
              <w:left w:val="single" w:color="000000" w:sz="18" w:space="0"/>
              <w:bottom w:val="single" w:color="000000" w:sz="4" w:space="0"/>
              <w:right w:val="single" w:color="000000" w:sz="4" w:space="0"/>
            </w:tcBorders>
            <w:vAlign w:val="center"/>
          </w:tcPr>
          <w:p w14:paraId="0204EDF4">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项目名称</w:t>
            </w:r>
          </w:p>
        </w:tc>
        <w:tc>
          <w:tcPr>
            <w:tcW w:w="1589" w:type="dxa"/>
            <w:tcBorders>
              <w:top w:val="single" w:color="000000" w:sz="18" w:space="0"/>
              <w:left w:val="nil"/>
              <w:bottom w:val="single" w:color="000000" w:sz="4" w:space="0"/>
              <w:right w:val="single" w:color="000000" w:sz="4" w:space="0"/>
            </w:tcBorders>
            <w:vAlign w:val="center"/>
          </w:tcPr>
          <w:p w14:paraId="01DEF919">
            <w:pPr>
              <w:pStyle w:val="537"/>
              <w:widowControl/>
              <w:autoSpaceDN w:val="0"/>
              <w:spacing w:line="440" w:lineRule="exact"/>
              <w:rPr>
                <w:rFonts w:ascii="宋体" w:hAnsi="宋体" w:cs="宋体"/>
                <w:b/>
                <w:snapToGrid w:val="0"/>
                <w:kern w:val="0"/>
                <w:sz w:val="28"/>
                <w:szCs w:val="28"/>
              </w:rPr>
            </w:pPr>
          </w:p>
        </w:tc>
        <w:tc>
          <w:tcPr>
            <w:tcW w:w="4033" w:type="dxa"/>
            <w:gridSpan w:val="3"/>
            <w:tcBorders>
              <w:top w:val="single" w:color="000000" w:sz="18" w:space="0"/>
              <w:left w:val="nil"/>
              <w:bottom w:val="single" w:color="000000" w:sz="4" w:space="0"/>
              <w:right w:val="single" w:color="000000" w:sz="4" w:space="0"/>
            </w:tcBorders>
            <w:vAlign w:val="center"/>
          </w:tcPr>
          <w:p w14:paraId="412DA23E">
            <w:pPr>
              <w:pStyle w:val="537"/>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项目合同编号</w:t>
            </w:r>
          </w:p>
        </w:tc>
        <w:tc>
          <w:tcPr>
            <w:tcW w:w="1991" w:type="dxa"/>
            <w:tcBorders>
              <w:top w:val="single" w:color="000000" w:sz="18" w:space="0"/>
              <w:left w:val="nil"/>
              <w:bottom w:val="single" w:color="000000" w:sz="4" w:space="0"/>
              <w:right w:val="single" w:color="000000" w:sz="18" w:space="0"/>
            </w:tcBorders>
            <w:vAlign w:val="center"/>
          </w:tcPr>
          <w:p w14:paraId="7DBBC435">
            <w:pPr>
              <w:pStyle w:val="537"/>
              <w:widowControl/>
              <w:autoSpaceDN w:val="0"/>
              <w:spacing w:line="560" w:lineRule="exact"/>
              <w:jc w:val="center"/>
              <w:rPr>
                <w:rFonts w:ascii="宋体" w:hAnsi="宋体" w:cs="宋体"/>
                <w:b/>
                <w:snapToGrid w:val="0"/>
                <w:kern w:val="0"/>
                <w:sz w:val="28"/>
                <w:szCs w:val="28"/>
              </w:rPr>
            </w:pPr>
          </w:p>
        </w:tc>
      </w:tr>
      <w:tr w14:paraId="431621F5">
        <w:tblPrEx>
          <w:tblCellMar>
            <w:top w:w="0" w:type="dxa"/>
            <w:left w:w="108" w:type="dxa"/>
            <w:bottom w:w="0" w:type="dxa"/>
            <w:right w:w="108" w:type="dxa"/>
          </w:tblCellMar>
        </w:tblPrEx>
        <w:trPr>
          <w:trHeight w:val="570" w:hRule="atLeast"/>
          <w:jc w:val="center"/>
        </w:trPr>
        <w:tc>
          <w:tcPr>
            <w:tcW w:w="2921" w:type="dxa"/>
            <w:tcBorders>
              <w:top w:val="nil"/>
              <w:left w:val="single" w:color="000000" w:sz="18" w:space="0"/>
              <w:bottom w:val="single" w:color="000000" w:sz="4" w:space="0"/>
              <w:right w:val="single" w:color="000000" w:sz="4" w:space="0"/>
            </w:tcBorders>
            <w:vAlign w:val="center"/>
          </w:tcPr>
          <w:p w14:paraId="1331EB6E">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甲方（采购人）:</w:t>
            </w:r>
          </w:p>
        </w:tc>
        <w:tc>
          <w:tcPr>
            <w:tcW w:w="7613" w:type="dxa"/>
            <w:gridSpan w:val="5"/>
            <w:tcBorders>
              <w:top w:val="single" w:color="000000" w:sz="4" w:space="0"/>
              <w:left w:val="nil"/>
              <w:bottom w:val="single" w:color="000000" w:sz="4" w:space="0"/>
              <w:right w:val="single" w:color="000000" w:sz="18" w:space="0"/>
            </w:tcBorders>
            <w:vAlign w:val="center"/>
          </w:tcPr>
          <w:p w14:paraId="171B025E">
            <w:pPr>
              <w:widowControl/>
              <w:autoSpaceDN w:val="0"/>
              <w:spacing w:line="360" w:lineRule="auto"/>
              <w:rPr>
                <w:rFonts w:ascii="宋体" w:hAnsi="宋体" w:cs="宋体"/>
                <w:snapToGrid w:val="0"/>
                <w:kern w:val="0"/>
                <w:sz w:val="28"/>
                <w:szCs w:val="28"/>
              </w:rPr>
            </w:pPr>
          </w:p>
        </w:tc>
      </w:tr>
      <w:tr w14:paraId="130EE004">
        <w:tblPrEx>
          <w:tblCellMar>
            <w:top w:w="0" w:type="dxa"/>
            <w:left w:w="108" w:type="dxa"/>
            <w:bottom w:w="0" w:type="dxa"/>
            <w:right w:w="108" w:type="dxa"/>
          </w:tblCellMar>
        </w:tblPrEx>
        <w:trPr>
          <w:trHeight w:val="533" w:hRule="atLeast"/>
          <w:jc w:val="center"/>
        </w:trPr>
        <w:tc>
          <w:tcPr>
            <w:tcW w:w="2921" w:type="dxa"/>
            <w:tcBorders>
              <w:top w:val="nil"/>
              <w:left w:val="single" w:color="000000" w:sz="18" w:space="0"/>
              <w:bottom w:val="single" w:color="000000" w:sz="4" w:space="0"/>
              <w:right w:val="single" w:color="000000" w:sz="4" w:space="0"/>
            </w:tcBorders>
            <w:vAlign w:val="center"/>
          </w:tcPr>
          <w:p w14:paraId="268B54A3">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联系人</w:t>
            </w:r>
          </w:p>
        </w:tc>
        <w:tc>
          <w:tcPr>
            <w:tcW w:w="1740" w:type="dxa"/>
            <w:gridSpan w:val="2"/>
            <w:tcBorders>
              <w:top w:val="single" w:color="000000" w:sz="4" w:space="0"/>
              <w:left w:val="nil"/>
              <w:bottom w:val="single" w:color="000000" w:sz="4" w:space="0"/>
              <w:right w:val="single" w:color="000000" w:sz="4" w:space="0"/>
            </w:tcBorders>
            <w:vAlign w:val="center"/>
          </w:tcPr>
          <w:p w14:paraId="18938470">
            <w:pPr>
              <w:pStyle w:val="537"/>
              <w:widowControl/>
              <w:autoSpaceDN w:val="0"/>
              <w:spacing w:line="440" w:lineRule="exact"/>
              <w:rPr>
                <w:rFonts w:ascii="宋体" w:hAnsi="宋体" w:cs="宋体"/>
                <w:snapToGrid w:val="0"/>
                <w:kern w:val="0"/>
                <w:sz w:val="28"/>
                <w:szCs w:val="28"/>
              </w:rPr>
            </w:pPr>
          </w:p>
        </w:tc>
        <w:tc>
          <w:tcPr>
            <w:tcW w:w="1775" w:type="dxa"/>
            <w:tcBorders>
              <w:top w:val="nil"/>
              <w:left w:val="nil"/>
              <w:bottom w:val="single" w:color="000000" w:sz="4" w:space="0"/>
              <w:right w:val="single" w:color="000000" w:sz="4" w:space="0"/>
            </w:tcBorders>
            <w:vAlign w:val="center"/>
          </w:tcPr>
          <w:p w14:paraId="30D8B12B">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联系电话</w:t>
            </w:r>
          </w:p>
        </w:tc>
        <w:tc>
          <w:tcPr>
            <w:tcW w:w="4098" w:type="dxa"/>
            <w:gridSpan w:val="2"/>
            <w:tcBorders>
              <w:top w:val="single" w:color="000000" w:sz="4" w:space="0"/>
              <w:left w:val="nil"/>
              <w:bottom w:val="single" w:color="000000" w:sz="4" w:space="0"/>
              <w:right w:val="single" w:color="000000" w:sz="18" w:space="0"/>
            </w:tcBorders>
            <w:vAlign w:val="center"/>
          </w:tcPr>
          <w:p w14:paraId="3167F085">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w:t>
            </w:r>
          </w:p>
        </w:tc>
      </w:tr>
      <w:tr w14:paraId="5C13F187">
        <w:tblPrEx>
          <w:tblCellMar>
            <w:top w:w="0" w:type="dxa"/>
            <w:left w:w="108" w:type="dxa"/>
            <w:bottom w:w="0" w:type="dxa"/>
            <w:right w:w="108" w:type="dxa"/>
          </w:tblCellMar>
        </w:tblPrEx>
        <w:trPr>
          <w:trHeight w:val="495" w:hRule="atLeast"/>
          <w:jc w:val="center"/>
        </w:trPr>
        <w:tc>
          <w:tcPr>
            <w:tcW w:w="2921" w:type="dxa"/>
            <w:tcBorders>
              <w:top w:val="nil"/>
              <w:left w:val="single" w:color="000000" w:sz="18" w:space="0"/>
              <w:bottom w:val="single" w:color="000000" w:sz="4" w:space="0"/>
              <w:right w:val="single" w:color="000000" w:sz="4" w:space="0"/>
            </w:tcBorders>
            <w:vAlign w:val="center"/>
          </w:tcPr>
          <w:p w14:paraId="27F049F5">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采购设备名称</w:t>
            </w:r>
          </w:p>
        </w:tc>
        <w:tc>
          <w:tcPr>
            <w:tcW w:w="1740" w:type="dxa"/>
            <w:gridSpan w:val="2"/>
            <w:tcBorders>
              <w:top w:val="single" w:color="000000" w:sz="4" w:space="0"/>
              <w:left w:val="nil"/>
              <w:bottom w:val="single" w:color="000000" w:sz="4" w:space="0"/>
              <w:right w:val="single" w:color="000000" w:sz="4" w:space="0"/>
            </w:tcBorders>
            <w:vAlign w:val="center"/>
          </w:tcPr>
          <w:p w14:paraId="3169C07A">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设备描述及说明</w:t>
            </w:r>
          </w:p>
        </w:tc>
        <w:tc>
          <w:tcPr>
            <w:tcW w:w="1775" w:type="dxa"/>
            <w:tcBorders>
              <w:top w:val="nil"/>
              <w:left w:val="nil"/>
              <w:bottom w:val="single" w:color="000000" w:sz="4" w:space="0"/>
              <w:right w:val="single" w:color="000000" w:sz="4" w:space="0"/>
            </w:tcBorders>
            <w:vAlign w:val="center"/>
          </w:tcPr>
          <w:p w14:paraId="4B02C47E">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数量</w:t>
            </w:r>
          </w:p>
        </w:tc>
        <w:tc>
          <w:tcPr>
            <w:tcW w:w="4098" w:type="dxa"/>
            <w:gridSpan w:val="2"/>
            <w:tcBorders>
              <w:top w:val="single" w:color="000000" w:sz="4" w:space="0"/>
              <w:left w:val="nil"/>
              <w:bottom w:val="single" w:color="000000" w:sz="4" w:space="0"/>
              <w:right w:val="single" w:color="000000" w:sz="18" w:space="0"/>
            </w:tcBorders>
            <w:vAlign w:val="center"/>
          </w:tcPr>
          <w:p w14:paraId="03F6BCBD">
            <w:pPr>
              <w:pStyle w:val="537"/>
              <w:widowControl/>
              <w:autoSpaceDN w:val="0"/>
              <w:spacing w:line="440" w:lineRule="exact"/>
              <w:jc w:val="center"/>
              <w:rPr>
                <w:rFonts w:ascii="宋体" w:hAnsi="宋体" w:cs="宋体"/>
                <w:bCs/>
                <w:snapToGrid w:val="0"/>
                <w:kern w:val="0"/>
                <w:sz w:val="28"/>
                <w:szCs w:val="28"/>
              </w:rPr>
            </w:pPr>
            <w:r>
              <w:rPr>
                <w:rFonts w:hint="eastAsia" w:ascii="宋体" w:hAnsi="宋体" w:cs="宋体"/>
                <w:bCs/>
                <w:snapToGrid w:val="0"/>
                <w:kern w:val="0"/>
                <w:sz w:val="28"/>
                <w:szCs w:val="28"/>
              </w:rPr>
              <w:t>序列号</w:t>
            </w:r>
          </w:p>
        </w:tc>
      </w:tr>
      <w:tr w14:paraId="7DED507B">
        <w:tblPrEx>
          <w:tblCellMar>
            <w:top w:w="0" w:type="dxa"/>
            <w:left w:w="108" w:type="dxa"/>
            <w:bottom w:w="0" w:type="dxa"/>
            <w:right w:w="108" w:type="dxa"/>
          </w:tblCellMar>
        </w:tblPrEx>
        <w:trPr>
          <w:trHeight w:val="480" w:hRule="atLeast"/>
          <w:jc w:val="center"/>
        </w:trPr>
        <w:tc>
          <w:tcPr>
            <w:tcW w:w="2921" w:type="dxa"/>
            <w:tcBorders>
              <w:top w:val="nil"/>
              <w:left w:val="single" w:color="000000" w:sz="18" w:space="0"/>
              <w:bottom w:val="single" w:color="000000" w:sz="4" w:space="0"/>
              <w:right w:val="single" w:color="000000" w:sz="4" w:space="0"/>
            </w:tcBorders>
            <w:vAlign w:val="center"/>
          </w:tcPr>
          <w:p w14:paraId="7EA1648E">
            <w:pPr>
              <w:pStyle w:val="537"/>
              <w:widowControl/>
              <w:autoSpaceDN w:val="0"/>
              <w:spacing w:line="440" w:lineRule="exact"/>
              <w:jc w:val="center"/>
              <w:rPr>
                <w:rFonts w:ascii="宋体" w:hAnsi="宋体" w:cs="宋体"/>
                <w:snapToGrid w:val="0"/>
                <w:kern w:val="0"/>
                <w:sz w:val="28"/>
                <w:szCs w:val="28"/>
              </w:rPr>
            </w:pPr>
          </w:p>
        </w:tc>
        <w:tc>
          <w:tcPr>
            <w:tcW w:w="1740" w:type="dxa"/>
            <w:gridSpan w:val="2"/>
            <w:tcBorders>
              <w:top w:val="single" w:color="000000" w:sz="4" w:space="0"/>
              <w:left w:val="nil"/>
              <w:bottom w:val="single" w:color="000000" w:sz="4" w:space="0"/>
              <w:right w:val="single" w:color="000000" w:sz="4" w:space="0"/>
            </w:tcBorders>
            <w:vAlign w:val="center"/>
          </w:tcPr>
          <w:p w14:paraId="08E8E972">
            <w:pPr>
              <w:pStyle w:val="537"/>
              <w:widowControl/>
              <w:autoSpaceDN w:val="0"/>
              <w:spacing w:line="440" w:lineRule="exact"/>
              <w:jc w:val="center"/>
              <w:rPr>
                <w:rFonts w:ascii="宋体" w:hAnsi="宋体" w:cs="宋体"/>
                <w:snapToGrid w:val="0"/>
                <w:kern w:val="0"/>
                <w:sz w:val="28"/>
                <w:szCs w:val="28"/>
              </w:rPr>
            </w:pPr>
          </w:p>
        </w:tc>
        <w:tc>
          <w:tcPr>
            <w:tcW w:w="1775" w:type="dxa"/>
            <w:tcBorders>
              <w:top w:val="nil"/>
              <w:left w:val="nil"/>
              <w:bottom w:val="single" w:color="000000" w:sz="4" w:space="0"/>
              <w:right w:val="single" w:color="000000" w:sz="4" w:space="0"/>
            </w:tcBorders>
            <w:vAlign w:val="center"/>
          </w:tcPr>
          <w:p w14:paraId="05C8BE7B">
            <w:pPr>
              <w:pStyle w:val="537"/>
              <w:widowControl/>
              <w:autoSpaceDN w:val="0"/>
              <w:spacing w:line="440" w:lineRule="exact"/>
              <w:jc w:val="center"/>
              <w:rPr>
                <w:rFonts w:ascii="宋体" w:hAnsi="宋体" w:cs="宋体"/>
                <w:snapToGrid w:val="0"/>
                <w:kern w:val="0"/>
                <w:sz w:val="28"/>
                <w:szCs w:val="28"/>
              </w:rPr>
            </w:pPr>
          </w:p>
        </w:tc>
        <w:tc>
          <w:tcPr>
            <w:tcW w:w="4098" w:type="dxa"/>
            <w:gridSpan w:val="2"/>
            <w:tcBorders>
              <w:top w:val="single" w:color="000000" w:sz="4" w:space="0"/>
              <w:left w:val="nil"/>
              <w:bottom w:val="single" w:color="000000" w:sz="4" w:space="0"/>
              <w:right w:val="single" w:color="000000" w:sz="18" w:space="0"/>
            </w:tcBorders>
            <w:vAlign w:val="center"/>
          </w:tcPr>
          <w:p w14:paraId="778E5D95">
            <w:pPr>
              <w:pStyle w:val="537"/>
              <w:widowControl/>
              <w:autoSpaceDN w:val="0"/>
              <w:spacing w:line="440" w:lineRule="exact"/>
              <w:jc w:val="center"/>
              <w:rPr>
                <w:rFonts w:ascii="宋体" w:hAnsi="宋体" w:cs="宋体"/>
                <w:snapToGrid w:val="0"/>
                <w:kern w:val="0"/>
                <w:sz w:val="28"/>
                <w:szCs w:val="28"/>
              </w:rPr>
            </w:pPr>
          </w:p>
        </w:tc>
      </w:tr>
      <w:tr w14:paraId="4DAC06B6">
        <w:tblPrEx>
          <w:tblCellMar>
            <w:top w:w="0" w:type="dxa"/>
            <w:left w:w="108" w:type="dxa"/>
            <w:bottom w:w="0" w:type="dxa"/>
            <w:right w:w="108" w:type="dxa"/>
          </w:tblCellMar>
        </w:tblPrEx>
        <w:trPr>
          <w:trHeight w:val="510" w:hRule="atLeast"/>
          <w:jc w:val="center"/>
        </w:trPr>
        <w:tc>
          <w:tcPr>
            <w:tcW w:w="10534" w:type="dxa"/>
            <w:gridSpan w:val="6"/>
            <w:tcBorders>
              <w:top w:val="single" w:color="000000" w:sz="4" w:space="0"/>
              <w:left w:val="single" w:color="000000" w:sz="18" w:space="0"/>
              <w:bottom w:val="single" w:color="000000" w:sz="8" w:space="0"/>
              <w:right w:val="single" w:color="000000" w:sz="18" w:space="0"/>
            </w:tcBorders>
            <w:vAlign w:val="center"/>
          </w:tcPr>
          <w:p w14:paraId="6DF72D74">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xml:space="preserve">备注： </w:t>
            </w:r>
          </w:p>
        </w:tc>
      </w:tr>
      <w:tr w14:paraId="0E265200">
        <w:tblPrEx>
          <w:tblCellMar>
            <w:top w:w="0" w:type="dxa"/>
            <w:left w:w="108" w:type="dxa"/>
            <w:bottom w:w="0" w:type="dxa"/>
            <w:right w:w="108" w:type="dxa"/>
          </w:tblCellMar>
        </w:tblPrEx>
        <w:trPr>
          <w:trHeight w:val="270" w:hRule="atLeast"/>
          <w:jc w:val="center"/>
        </w:trPr>
        <w:tc>
          <w:tcPr>
            <w:tcW w:w="10534" w:type="dxa"/>
            <w:gridSpan w:val="6"/>
            <w:tcBorders>
              <w:top w:val="single" w:color="000000" w:sz="8" w:space="0"/>
              <w:left w:val="single" w:color="000000" w:sz="18" w:space="0"/>
              <w:bottom w:val="nil"/>
              <w:right w:val="single" w:color="000000" w:sz="18" w:space="0"/>
            </w:tcBorders>
            <w:vAlign w:val="center"/>
          </w:tcPr>
          <w:p w14:paraId="76EE0F1C">
            <w:pPr>
              <w:pStyle w:val="537"/>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验收内容</w:t>
            </w:r>
          </w:p>
        </w:tc>
      </w:tr>
      <w:tr w14:paraId="0A75E31D">
        <w:tblPrEx>
          <w:tblCellMar>
            <w:top w:w="0" w:type="dxa"/>
            <w:left w:w="108" w:type="dxa"/>
            <w:bottom w:w="0" w:type="dxa"/>
            <w:right w:w="108" w:type="dxa"/>
          </w:tblCellMar>
        </w:tblPrEx>
        <w:trPr>
          <w:trHeight w:val="570" w:hRule="atLeast"/>
          <w:jc w:val="center"/>
        </w:trPr>
        <w:tc>
          <w:tcPr>
            <w:tcW w:w="10534" w:type="dxa"/>
            <w:gridSpan w:val="6"/>
            <w:tcBorders>
              <w:top w:val="nil"/>
              <w:left w:val="single" w:color="000000" w:sz="18" w:space="0"/>
              <w:bottom w:val="nil"/>
              <w:right w:val="single" w:color="000000" w:sz="18" w:space="0"/>
            </w:tcBorders>
            <w:vAlign w:val="center"/>
          </w:tcPr>
          <w:p w14:paraId="7138CA92">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xml:space="preserve">验收内容：对设备包装、外观进行检查后，双方一致认为设备包装      </w:t>
            </w:r>
          </w:p>
          <w:p w14:paraId="0DCC87D6">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xml:space="preserve"> □完好 / □破损</w:t>
            </w:r>
          </w:p>
        </w:tc>
      </w:tr>
      <w:tr w14:paraId="4BFF5A12">
        <w:tblPrEx>
          <w:tblCellMar>
            <w:top w:w="0" w:type="dxa"/>
            <w:left w:w="108" w:type="dxa"/>
            <w:bottom w:w="0" w:type="dxa"/>
            <w:right w:w="108" w:type="dxa"/>
          </w:tblCellMar>
        </w:tblPrEx>
        <w:trPr>
          <w:trHeight w:val="540" w:hRule="atLeast"/>
          <w:jc w:val="center"/>
        </w:trPr>
        <w:tc>
          <w:tcPr>
            <w:tcW w:w="10534" w:type="dxa"/>
            <w:gridSpan w:val="6"/>
            <w:tcBorders>
              <w:top w:val="nil"/>
              <w:left w:val="single" w:color="000000" w:sz="18" w:space="0"/>
              <w:bottom w:val="nil"/>
              <w:right w:val="single" w:color="000000" w:sz="18" w:space="0"/>
            </w:tcBorders>
            <w:vAlign w:val="center"/>
          </w:tcPr>
          <w:p w14:paraId="055DE1BA">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xml:space="preserve">开箱验货：检查设备型号、数量、外观及相关资料等是否正确、齐全    </w:t>
            </w:r>
          </w:p>
          <w:p w14:paraId="5E1A1450">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□齐全 / □不齐全</w:t>
            </w:r>
          </w:p>
        </w:tc>
      </w:tr>
      <w:tr w14:paraId="0B96BD82">
        <w:tblPrEx>
          <w:tblCellMar>
            <w:top w:w="0" w:type="dxa"/>
            <w:left w:w="108" w:type="dxa"/>
            <w:bottom w:w="0" w:type="dxa"/>
            <w:right w:w="108" w:type="dxa"/>
          </w:tblCellMar>
        </w:tblPrEx>
        <w:trPr>
          <w:trHeight w:val="936" w:hRule="atLeast"/>
          <w:jc w:val="center"/>
        </w:trPr>
        <w:tc>
          <w:tcPr>
            <w:tcW w:w="10534" w:type="dxa"/>
            <w:gridSpan w:val="6"/>
            <w:tcBorders>
              <w:top w:val="nil"/>
              <w:left w:val="single" w:color="000000" w:sz="18" w:space="0"/>
              <w:bottom w:val="single" w:color="000000" w:sz="8" w:space="0"/>
              <w:right w:val="single" w:color="000000" w:sz="18" w:space="0"/>
            </w:tcBorders>
            <w:vAlign w:val="center"/>
          </w:tcPr>
          <w:p w14:paraId="7FDE3FB6">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验收意见：□同意 / □不同意验收。</w:t>
            </w:r>
          </w:p>
          <w:p w14:paraId="5102657B">
            <w:pPr>
              <w:pStyle w:val="537"/>
              <w:autoSpaceDN w:val="0"/>
              <w:spacing w:line="440" w:lineRule="exact"/>
              <w:rPr>
                <w:rFonts w:ascii="宋体" w:hAnsi="宋体" w:cs="宋体"/>
                <w:snapToGrid w:val="0"/>
                <w:kern w:val="0"/>
                <w:sz w:val="28"/>
                <w:szCs w:val="28"/>
              </w:rPr>
            </w:pPr>
          </w:p>
        </w:tc>
      </w:tr>
      <w:tr w14:paraId="6FE4C0E7">
        <w:tblPrEx>
          <w:tblCellMar>
            <w:top w:w="0" w:type="dxa"/>
            <w:left w:w="108" w:type="dxa"/>
            <w:bottom w:w="0" w:type="dxa"/>
            <w:right w:w="108" w:type="dxa"/>
          </w:tblCellMar>
        </w:tblPrEx>
        <w:trPr>
          <w:trHeight w:val="90" w:hRule="atLeast"/>
          <w:jc w:val="center"/>
        </w:trPr>
        <w:tc>
          <w:tcPr>
            <w:tcW w:w="4510" w:type="dxa"/>
            <w:gridSpan w:val="2"/>
            <w:tcBorders>
              <w:top w:val="single" w:color="000000" w:sz="8" w:space="0"/>
              <w:left w:val="single" w:color="000000" w:sz="18" w:space="0"/>
              <w:bottom w:val="single" w:color="000000" w:sz="18" w:space="0"/>
              <w:right w:val="single" w:color="000000" w:sz="4" w:space="0"/>
            </w:tcBorders>
            <w:vAlign w:val="center"/>
          </w:tcPr>
          <w:p w14:paraId="6F437C7E">
            <w:pPr>
              <w:pStyle w:val="559"/>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甲方验收代表签字：</w:t>
            </w:r>
          </w:p>
          <w:p w14:paraId="0785197D">
            <w:pPr>
              <w:pStyle w:val="560"/>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　</w:t>
            </w:r>
          </w:p>
          <w:p w14:paraId="5DE450CA">
            <w:pPr>
              <w:pStyle w:val="561"/>
              <w:widowControl/>
              <w:autoSpaceDN w:val="0"/>
              <w:spacing w:line="440" w:lineRule="exact"/>
              <w:rPr>
                <w:rFonts w:ascii="宋体" w:hAnsi="宋体" w:cs="宋体"/>
                <w:snapToGrid w:val="0"/>
                <w:kern w:val="0"/>
                <w:sz w:val="28"/>
                <w:szCs w:val="28"/>
              </w:rPr>
            </w:pPr>
            <w:r>
              <w:rPr>
                <w:rFonts w:hint="eastAsia" w:ascii="宋体" w:hAnsi="宋体" w:cs="宋体"/>
                <w:bCs/>
                <w:snapToGrid w:val="0"/>
                <w:kern w:val="0"/>
                <w:sz w:val="28"/>
                <w:szCs w:val="28"/>
              </w:rPr>
              <w:t>　</w:t>
            </w:r>
          </w:p>
          <w:p w14:paraId="41518864">
            <w:pPr>
              <w:pStyle w:val="562"/>
              <w:widowControl/>
              <w:autoSpaceDN w:val="0"/>
              <w:spacing w:line="440" w:lineRule="exact"/>
              <w:rPr>
                <w:rFonts w:ascii="宋体" w:hAnsi="宋体" w:cs="宋体"/>
                <w:bCs/>
                <w:snapToGrid w:val="0"/>
                <w:kern w:val="0"/>
                <w:sz w:val="28"/>
                <w:szCs w:val="28"/>
              </w:rPr>
            </w:pPr>
          </w:p>
          <w:p w14:paraId="60EE91AF">
            <w:pPr>
              <w:pStyle w:val="562"/>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甲方盖章：</w:t>
            </w:r>
          </w:p>
          <w:p w14:paraId="59F34A21">
            <w:pPr>
              <w:pStyle w:val="563"/>
              <w:widowControl/>
              <w:autoSpaceDN w:val="0"/>
              <w:spacing w:line="440" w:lineRule="exact"/>
              <w:rPr>
                <w:rFonts w:ascii="宋体" w:hAnsi="宋体" w:cs="宋体"/>
                <w:snapToGrid w:val="0"/>
                <w:kern w:val="0"/>
                <w:sz w:val="28"/>
                <w:szCs w:val="28"/>
              </w:rPr>
            </w:pPr>
            <w:r>
              <w:rPr>
                <w:rFonts w:hint="eastAsia" w:ascii="宋体" w:hAnsi="宋体" w:cs="宋体"/>
                <w:bCs/>
                <w:snapToGrid w:val="0"/>
                <w:kern w:val="0"/>
                <w:sz w:val="28"/>
                <w:szCs w:val="28"/>
              </w:rPr>
              <w:t>　</w:t>
            </w:r>
          </w:p>
          <w:p w14:paraId="2D86DAE0">
            <w:pPr>
              <w:pStyle w:val="564"/>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日期：</w:t>
            </w:r>
          </w:p>
        </w:tc>
        <w:tc>
          <w:tcPr>
            <w:tcW w:w="6024" w:type="dxa"/>
            <w:gridSpan w:val="4"/>
            <w:tcBorders>
              <w:top w:val="single" w:color="000000" w:sz="8" w:space="0"/>
              <w:left w:val="nil"/>
              <w:bottom w:val="single" w:color="000000" w:sz="18" w:space="0"/>
              <w:right w:val="single" w:color="000000" w:sz="18" w:space="0"/>
            </w:tcBorders>
            <w:vAlign w:val="center"/>
          </w:tcPr>
          <w:p w14:paraId="61359B29">
            <w:pPr>
              <w:pStyle w:val="537"/>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乙方验收代表签字：</w:t>
            </w:r>
          </w:p>
          <w:p w14:paraId="212F0798">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w:t>
            </w:r>
          </w:p>
          <w:p w14:paraId="2E492AA6">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w:t>
            </w:r>
          </w:p>
          <w:p w14:paraId="07B52350">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w:t>
            </w:r>
          </w:p>
          <w:p w14:paraId="67106A9C">
            <w:pPr>
              <w:pStyle w:val="537"/>
              <w:widowControl/>
              <w:autoSpaceDN w:val="0"/>
              <w:spacing w:line="440" w:lineRule="exact"/>
              <w:rPr>
                <w:rFonts w:ascii="宋体" w:hAnsi="宋体" w:cs="宋体"/>
                <w:bCs/>
                <w:snapToGrid w:val="0"/>
                <w:kern w:val="0"/>
                <w:sz w:val="28"/>
                <w:szCs w:val="28"/>
              </w:rPr>
            </w:pPr>
            <w:r>
              <w:rPr>
                <w:rFonts w:hint="eastAsia" w:ascii="宋体" w:hAnsi="宋体" w:cs="宋体"/>
                <w:bCs/>
                <w:snapToGrid w:val="0"/>
                <w:kern w:val="0"/>
                <w:sz w:val="28"/>
                <w:szCs w:val="28"/>
              </w:rPr>
              <w:t>乙方盖章：</w:t>
            </w:r>
          </w:p>
          <w:p w14:paraId="2A1D9FCA">
            <w:pPr>
              <w:pStyle w:val="537"/>
              <w:widowControl/>
              <w:autoSpaceDN w:val="0"/>
              <w:spacing w:line="440" w:lineRule="exact"/>
              <w:rPr>
                <w:rFonts w:ascii="宋体" w:hAnsi="宋体" w:cs="宋体"/>
                <w:snapToGrid w:val="0"/>
                <w:kern w:val="0"/>
                <w:sz w:val="28"/>
                <w:szCs w:val="28"/>
              </w:rPr>
            </w:pPr>
            <w:r>
              <w:rPr>
                <w:rFonts w:hint="eastAsia" w:ascii="宋体" w:hAnsi="宋体" w:cs="宋体"/>
                <w:snapToGrid w:val="0"/>
                <w:kern w:val="0"/>
                <w:sz w:val="28"/>
                <w:szCs w:val="28"/>
              </w:rPr>
              <w:t>　</w:t>
            </w:r>
          </w:p>
          <w:p w14:paraId="5F6E5511">
            <w:pPr>
              <w:pStyle w:val="537"/>
              <w:widowControl/>
              <w:autoSpaceDN w:val="0"/>
              <w:spacing w:line="440" w:lineRule="exact"/>
              <w:rPr>
                <w:rFonts w:ascii="宋体" w:hAnsi="宋体" w:cs="宋体"/>
                <w:snapToGrid w:val="0"/>
                <w:kern w:val="0"/>
                <w:sz w:val="28"/>
                <w:szCs w:val="28"/>
              </w:rPr>
            </w:pPr>
            <w:r>
              <w:rPr>
                <w:rFonts w:hint="eastAsia" w:ascii="宋体" w:hAnsi="宋体" w:cs="宋体"/>
                <w:bCs/>
                <w:snapToGrid w:val="0"/>
                <w:kern w:val="0"/>
                <w:sz w:val="28"/>
                <w:szCs w:val="28"/>
              </w:rPr>
              <w:t>日期：</w:t>
            </w:r>
          </w:p>
        </w:tc>
      </w:tr>
    </w:tbl>
    <w:p w14:paraId="72F491F1">
      <w:r>
        <w:br w:type="page"/>
      </w:r>
    </w:p>
    <w:p w14:paraId="02F2EAA4">
      <w:pPr>
        <w:jc w:val="left"/>
      </w:pPr>
    </w:p>
    <w:p w14:paraId="6BFB8DA9">
      <w:pPr>
        <w:pStyle w:val="2"/>
      </w:pPr>
      <w:bookmarkStart w:id="25" w:name="_Toc16121"/>
      <w:r>
        <w:rPr>
          <w:rFonts w:hint="eastAsia"/>
        </w:rPr>
        <w:t>第五章  投标资料表</w:t>
      </w:r>
      <w:bookmarkEnd w:id="25"/>
    </w:p>
    <w:p w14:paraId="2BA5024E">
      <w:pPr>
        <w:autoSpaceDE w:val="0"/>
        <w:autoSpaceDN w:val="0"/>
        <w:adjustRightInd w:val="0"/>
        <w:spacing w:line="360" w:lineRule="auto"/>
        <w:ind w:firstLine="480" w:firstLineChars="200"/>
        <w:jc w:val="left"/>
      </w:pPr>
      <w:r>
        <w:rPr>
          <w:rFonts w:hint="eastAsia" w:ascii="仿宋_GB2312" w:eastAsia="仿宋_GB2312"/>
          <w:sz w:val="24"/>
        </w:rPr>
        <w:t>投标资料表是对招标文件第二册“通用部分”的具体补充和说明，“通用部分”和投标资料表有不一致之处，应以投标资料表为准。投标资料表的条款号与“通用部分”条款号是一一对应的关系。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690"/>
        <w:gridCol w:w="6673"/>
      </w:tblGrid>
      <w:tr w14:paraId="32DC9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FD677B0">
            <w:pPr>
              <w:pStyle w:val="27"/>
              <w:spacing w:line="360" w:lineRule="auto"/>
              <w:jc w:val="center"/>
              <w:rPr>
                <w:rFonts w:hAnsi="宋体" w:cs="宋体"/>
                <w:szCs w:val="21"/>
              </w:rPr>
            </w:pPr>
            <w:r>
              <w:rPr>
                <w:rFonts w:hint="eastAsia" w:hAnsi="宋体" w:cs="宋体"/>
                <w:szCs w:val="21"/>
              </w:rPr>
              <w:t>项号</w:t>
            </w:r>
          </w:p>
        </w:tc>
        <w:tc>
          <w:tcPr>
            <w:tcW w:w="1038" w:type="dxa"/>
            <w:vAlign w:val="center"/>
          </w:tcPr>
          <w:p w14:paraId="10324BA8">
            <w:pPr>
              <w:pStyle w:val="27"/>
              <w:spacing w:line="360" w:lineRule="auto"/>
              <w:jc w:val="center"/>
              <w:rPr>
                <w:rFonts w:hAnsi="宋体" w:cs="宋体"/>
                <w:szCs w:val="21"/>
              </w:rPr>
            </w:pPr>
            <w:r>
              <w:rPr>
                <w:rFonts w:hint="eastAsia" w:hAnsi="宋体" w:cs="宋体"/>
                <w:szCs w:val="21"/>
              </w:rPr>
              <w:t>条款号</w:t>
            </w:r>
          </w:p>
        </w:tc>
        <w:tc>
          <w:tcPr>
            <w:tcW w:w="1690" w:type="dxa"/>
            <w:vAlign w:val="center"/>
          </w:tcPr>
          <w:p w14:paraId="65121FB8">
            <w:pPr>
              <w:pStyle w:val="27"/>
              <w:spacing w:line="360" w:lineRule="auto"/>
              <w:jc w:val="center"/>
              <w:rPr>
                <w:rFonts w:hAnsi="宋体" w:cs="宋体"/>
                <w:szCs w:val="21"/>
              </w:rPr>
            </w:pPr>
            <w:r>
              <w:rPr>
                <w:rFonts w:hint="eastAsia" w:hAnsi="宋体" w:cs="宋体"/>
                <w:szCs w:val="21"/>
              </w:rPr>
              <w:t>内容</w:t>
            </w:r>
          </w:p>
        </w:tc>
        <w:tc>
          <w:tcPr>
            <w:tcW w:w="6673" w:type="dxa"/>
          </w:tcPr>
          <w:p w14:paraId="3C02AD18">
            <w:pPr>
              <w:pStyle w:val="27"/>
              <w:spacing w:line="360" w:lineRule="auto"/>
              <w:jc w:val="center"/>
              <w:rPr>
                <w:rFonts w:hAnsi="宋体" w:cs="宋体"/>
                <w:szCs w:val="21"/>
              </w:rPr>
            </w:pPr>
            <w:r>
              <w:rPr>
                <w:rFonts w:hint="eastAsia" w:hAnsi="宋体" w:cs="宋体"/>
                <w:szCs w:val="21"/>
              </w:rPr>
              <w:t>内容规定</w:t>
            </w:r>
          </w:p>
        </w:tc>
      </w:tr>
      <w:tr w14:paraId="48B7A8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A14A179">
            <w:pPr>
              <w:pStyle w:val="27"/>
              <w:spacing w:line="360" w:lineRule="auto"/>
              <w:jc w:val="center"/>
              <w:rPr>
                <w:rFonts w:hAnsi="宋体" w:cs="宋体"/>
                <w:szCs w:val="21"/>
              </w:rPr>
            </w:pPr>
            <w:r>
              <w:rPr>
                <w:rFonts w:hint="eastAsia" w:hAnsi="宋体" w:cs="宋体"/>
                <w:szCs w:val="21"/>
              </w:rPr>
              <w:t>1</w:t>
            </w:r>
          </w:p>
        </w:tc>
        <w:tc>
          <w:tcPr>
            <w:tcW w:w="1038" w:type="dxa"/>
            <w:vAlign w:val="center"/>
          </w:tcPr>
          <w:p w14:paraId="15D88AB7">
            <w:pPr>
              <w:pStyle w:val="27"/>
              <w:spacing w:line="360" w:lineRule="auto"/>
              <w:jc w:val="center"/>
              <w:rPr>
                <w:rFonts w:hAnsi="宋体" w:cs="宋体"/>
                <w:szCs w:val="21"/>
              </w:rPr>
            </w:pPr>
            <w:r>
              <w:rPr>
                <w:rFonts w:hint="eastAsia" w:hAnsi="宋体" w:cs="宋体"/>
                <w:szCs w:val="21"/>
              </w:rPr>
              <w:t>1.1</w:t>
            </w:r>
          </w:p>
        </w:tc>
        <w:tc>
          <w:tcPr>
            <w:tcW w:w="1690" w:type="dxa"/>
            <w:vAlign w:val="center"/>
          </w:tcPr>
          <w:p w14:paraId="7E65191A">
            <w:pPr>
              <w:pStyle w:val="27"/>
              <w:spacing w:line="360" w:lineRule="auto"/>
              <w:jc w:val="center"/>
              <w:rPr>
                <w:rFonts w:hAnsi="宋体" w:cs="宋体"/>
                <w:szCs w:val="21"/>
              </w:rPr>
            </w:pPr>
            <w:r>
              <w:rPr>
                <w:rFonts w:hint="eastAsia" w:hAnsi="宋体" w:cs="宋体"/>
                <w:szCs w:val="21"/>
              </w:rPr>
              <w:t>项目名称</w:t>
            </w:r>
          </w:p>
        </w:tc>
        <w:tc>
          <w:tcPr>
            <w:tcW w:w="6673" w:type="dxa"/>
            <w:vAlign w:val="center"/>
          </w:tcPr>
          <w:p w14:paraId="31CAF77C">
            <w:pPr>
              <w:pStyle w:val="27"/>
              <w:spacing w:line="360" w:lineRule="auto"/>
              <w:rPr>
                <w:rFonts w:hAnsi="宋体" w:cs="宋体"/>
                <w:szCs w:val="21"/>
              </w:rPr>
            </w:pPr>
            <w:r>
              <w:rPr>
                <w:rFonts w:hint="eastAsia" w:hAnsi="宋体" w:cs="宋体"/>
                <w:szCs w:val="21"/>
              </w:rPr>
              <w:t>皇岗海关新皇岗口岸手持式化学探测器采购项目</w:t>
            </w:r>
          </w:p>
        </w:tc>
      </w:tr>
      <w:tr w14:paraId="302C7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E967EE0">
            <w:pPr>
              <w:pStyle w:val="27"/>
              <w:spacing w:line="360" w:lineRule="auto"/>
              <w:jc w:val="center"/>
              <w:rPr>
                <w:rFonts w:hAnsi="宋体" w:cs="宋体"/>
                <w:szCs w:val="21"/>
              </w:rPr>
            </w:pPr>
            <w:r>
              <w:rPr>
                <w:rFonts w:hint="eastAsia" w:hAnsi="宋体" w:cs="宋体"/>
                <w:szCs w:val="21"/>
              </w:rPr>
              <w:t>2</w:t>
            </w:r>
          </w:p>
        </w:tc>
        <w:tc>
          <w:tcPr>
            <w:tcW w:w="1038" w:type="dxa"/>
            <w:vAlign w:val="center"/>
          </w:tcPr>
          <w:p w14:paraId="310A4E2B">
            <w:pPr>
              <w:pStyle w:val="27"/>
              <w:spacing w:line="360" w:lineRule="auto"/>
              <w:jc w:val="center"/>
              <w:rPr>
                <w:rFonts w:hAnsi="宋体" w:cs="宋体"/>
                <w:szCs w:val="21"/>
              </w:rPr>
            </w:pPr>
            <w:r>
              <w:rPr>
                <w:rFonts w:hint="eastAsia" w:hAnsi="宋体" w:cs="宋体"/>
                <w:szCs w:val="21"/>
              </w:rPr>
              <w:t>2.1</w:t>
            </w:r>
          </w:p>
        </w:tc>
        <w:tc>
          <w:tcPr>
            <w:tcW w:w="1690" w:type="dxa"/>
            <w:vAlign w:val="center"/>
          </w:tcPr>
          <w:p w14:paraId="27AB8784">
            <w:pPr>
              <w:pStyle w:val="27"/>
              <w:spacing w:line="360" w:lineRule="auto"/>
              <w:jc w:val="center"/>
              <w:rPr>
                <w:rFonts w:hAnsi="宋体" w:cs="宋体"/>
                <w:szCs w:val="21"/>
              </w:rPr>
            </w:pPr>
            <w:r>
              <w:rPr>
                <w:rFonts w:hint="eastAsia" w:hAnsi="宋体" w:cs="宋体"/>
                <w:szCs w:val="21"/>
              </w:rPr>
              <w:t>采购人</w:t>
            </w:r>
          </w:p>
        </w:tc>
        <w:tc>
          <w:tcPr>
            <w:tcW w:w="6673" w:type="dxa"/>
            <w:vAlign w:val="center"/>
          </w:tcPr>
          <w:p w14:paraId="2278B053">
            <w:pPr>
              <w:pStyle w:val="27"/>
              <w:spacing w:line="360" w:lineRule="auto"/>
              <w:rPr>
                <w:rFonts w:hAnsi="宋体" w:cs="宋体"/>
                <w:szCs w:val="21"/>
              </w:rPr>
            </w:pPr>
            <w:r>
              <w:rPr>
                <w:rFonts w:hint="eastAsia" w:hAnsi="宋体" w:cs="宋体"/>
                <w:szCs w:val="21"/>
              </w:rPr>
              <w:t>中华人民共和国皇岗海关</w:t>
            </w:r>
          </w:p>
        </w:tc>
      </w:tr>
      <w:tr w14:paraId="534A47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E1B4725">
            <w:pPr>
              <w:pStyle w:val="27"/>
              <w:spacing w:line="360" w:lineRule="auto"/>
              <w:jc w:val="center"/>
              <w:rPr>
                <w:rFonts w:hAnsi="宋体" w:cs="宋体"/>
                <w:szCs w:val="21"/>
              </w:rPr>
            </w:pPr>
            <w:r>
              <w:rPr>
                <w:rFonts w:hint="eastAsia" w:hAnsi="宋体" w:cs="宋体"/>
                <w:szCs w:val="21"/>
              </w:rPr>
              <w:t>3</w:t>
            </w:r>
          </w:p>
        </w:tc>
        <w:tc>
          <w:tcPr>
            <w:tcW w:w="1038" w:type="dxa"/>
            <w:vAlign w:val="center"/>
          </w:tcPr>
          <w:p w14:paraId="00AECD27">
            <w:pPr>
              <w:pStyle w:val="27"/>
              <w:spacing w:line="360" w:lineRule="auto"/>
              <w:jc w:val="center"/>
              <w:rPr>
                <w:rFonts w:hAnsi="宋体" w:cs="宋体"/>
                <w:szCs w:val="21"/>
              </w:rPr>
            </w:pPr>
            <w:r>
              <w:rPr>
                <w:rFonts w:hint="eastAsia" w:hAnsi="宋体" w:cs="宋体"/>
                <w:szCs w:val="21"/>
              </w:rPr>
              <w:t>2.2</w:t>
            </w:r>
          </w:p>
        </w:tc>
        <w:tc>
          <w:tcPr>
            <w:tcW w:w="1690" w:type="dxa"/>
            <w:vAlign w:val="center"/>
          </w:tcPr>
          <w:p w14:paraId="255D4412">
            <w:pPr>
              <w:pStyle w:val="27"/>
              <w:spacing w:line="360" w:lineRule="auto"/>
              <w:jc w:val="center"/>
              <w:rPr>
                <w:rFonts w:hAnsi="宋体" w:cs="宋体"/>
                <w:szCs w:val="21"/>
              </w:rPr>
            </w:pPr>
            <w:r>
              <w:rPr>
                <w:rFonts w:hint="eastAsia" w:hAnsi="宋体" w:cs="宋体"/>
                <w:szCs w:val="21"/>
              </w:rPr>
              <w:t>采购代理机构</w:t>
            </w:r>
          </w:p>
        </w:tc>
        <w:tc>
          <w:tcPr>
            <w:tcW w:w="6673" w:type="dxa"/>
            <w:vAlign w:val="center"/>
          </w:tcPr>
          <w:p w14:paraId="550E989C">
            <w:pPr>
              <w:pStyle w:val="27"/>
              <w:spacing w:line="360" w:lineRule="auto"/>
              <w:rPr>
                <w:rFonts w:hAnsi="宋体" w:cs="宋体"/>
                <w:szCs w:val="21"/>
              </w:rPr>
            </w:pPr>
            <w:r>
              <w:rPr>
                <w:rFonts w:hint="eastAsia" w:hAnsi="宋体" w:cs="宋体"/>
                <w:szCs w:val="21"/>
              </w:rPr>
              <w:t>深圳市中正招标有限公司</w:t>
            </w:r>
          </w:p>
        </w:tc>
      </w:tr>
      <w:tr w14:paraId="1EA06F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720891F7">
            <w:pPr>
              <w:pStyle w:val="27"/>
              <w:spacing w:line="360" w:lineRule="auto"/>
              <w:jc w:val="center"/>
              <w:rPr>
                <w:rFonts w:hAnsi="宋体" w:cs="宋体"/>
                <w:szCs w:val="21"/>
              </w:rPr>
            </w:pPr>
            <w:r>
              <w:rPr>
                <w:rFonts w:hint="eastAsia" w:hAnsi="宋体" w:cs="宋体"/>
                <w:szCs w:val="21"/>
              </w:rPr>
              <w:t>4</w:t>
            </w:r>
          </w:p>
        </w:tc>
        <w:tc>
          <w:tcPr>
            <w:tcW w:w="1038" w:type="dxa"/>
            <w:vAlign w:val="center"/>
          </w:tcPr>
          <w:p w14:paraId="4DDAB09A">
            <w:pPr>
              <w:pStyle w:val="27"/>
              <w:spacing w:line="360" w:lineRule="auto"/>
              <w:jc w:val="center"/>
              <w:rPr>
                <w:rFonts w:hAnsi="宋体" w:cs="宋体"/>
                <w:szCs w:val="21"/>
              </w:rPr>
            </w:pPr>
            <w:r>
              <w:rPr>
                <w:rFonts w:hint="eastAsia" w:hAnsi="宋体" w:cs="宋体"/>
                <w:szCs w:val="21"/>
              </w:rPr>
              <w:t>3.1</w:t>
            </w:r>
          </w:p>
        </w:tc>
        <w:tc>
          <w:tcPr>
            <w:tcW w:w="1690" w:type="dxa"/>
            <w:vAlign w:val="center"/>
          </w:tcPr>
          <w:p w14:paraId="5F2087A4">
            <w:pPr>
              <w:pStyle w:val="27"/>
              <w:spacing w:line="360" w:lineRule="auto"/>
              <w:jc w:val="center"/>
              <w:rPr>
                <w:rFonts w:hAnsi="宋体" w:cs="宋体"/>
                <w:szCs w:val="21"/>
              </w:rPr>
            </w:pPr>
            <w:r>
              <w:rPr>
                <w:rFonts w:hint="eastAsia" w:hAnsi="宋体" w:cs="宋体"/>
                <w:szCs w:val="21"/>
              </w:rPr>
              <w:t>资金来源</w:t>
            </w:r>
          </w:p>
        </w:tc>
        <w:tc>
          <w:tcPr>
            <w:tcW w:w="6673" w:type="dxa"/>
            <w:vAlign w:val="center"/>
          </w:tcPr>
          <w:p w14:paraId="10DBC078">
            <w:pPr>
              <w:pStyle w:val="27"/>
              <w:spacing w:line="360" w:lineRule="auto"/>
              <w:rPr>
                <w:rFonts w:hAnsi="宋体" w:cs="宋体"/>
                <w:szCs w:val="21"/>
              </w:rPr>
            </w:pPr>
            <w:r>
              <w:rPr>
                <w:rFonts w:hint="eastAsia" w:hAnsi="宋体" w:cs="宋体"/>
                <w:szCs w:val="21"/>
              </w:rPr>
              <w:t>☑项目支出</w:t>
            </w:r>
          </w:p>
        </w:tc>
      </w:tr>
      <w:tr w14:paraId="450735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5091D8D1">
            <w:pPr>
              <w:pStyle w:val="27"/>
              <w:spacing w:line="360" w:lineRule="auto"/>
              <w:jc w:val="center"/>
              <w:rPr>
                <w:rFonts w:hAnsi="宋体" w:cs="宋体"/>
                <w:szCs w:val="21"/>
              </w:rPr>
            </w:pPr>
            <w:r>
              <w:rPr>
                <w:rFonts w:hint="eastAsia" w:hAnsi="宋体" w:cs="宋体"/>
                <w:szCs w:val="21"/>
              </w:rPr>
              <w:t>5</w:t>
            </w:r>
          </w:p>
        </w:tc>
        <w:tc>
          <w:tcPr>
            <w:tcW w:w="1038" w:type="dxa"/>
            <w:vAlign w:val="center"/>
          </w:tcPr>
          <w:p w14:paraId="1169542B">
            <w:pPr>
              <w:pStyle w:val="27"/>
              <w:spacing w:line="360" w:lineRule="auto"/>
              <w:jc w:val="center"/>
              <w:rPr>
                <w:rFonts w:hAnsi="宋体" w:cs="宋体"/>
                <w:szCs w:val="21"/>
              </w:rPr>
            </w:pPr>
            <w:r>
              <w:rPr>
                <w:rFonts w:hint="eastAsia" w:hAnsi="宋体" w:cs="宋体"/>
                <w:szCs w:val="21"/>
              </w:rPr>
              <w:t>4.7</w:t>
            </w:r>
          </w:p>
        </w:tc>
        <w:tc>
          <w:tcPr>
            <w:tcW w:w="1690" w:type="dxa"/>
            <w:vAlign w:val="center"/>
          </w:tcPr>
          <w:p w14:paraId="4EF5E860">
            <w:pPr>
              <w:pStyle w:val="27"/>
              <w:spacing w:line="360" w:lineRule="auto"/>
              <w:jc w:val="center"/>
              <w:rPr>
                <w:rFonts w:hAnsi="宋体" w:cs="宋体"/>
                <w:szCs w:val="21"/>
              </w:rPr>
            </w:pPr>
            <w:r>
              <w:rPr>
                <w:rFonts w:hint="eastAsia" w:hAnsi="宋体" w:cs="宋体"/>
                <w:szCs w:val="21"/>
              </w:rPr>
              <w:t>投标人资格要求</w:t>
            </w:r>
          </w:p>
        </w:tc>
        <w:tc>
          <w:tcPr>
            <w:tcW w:w="6673" w:type="dxa"/>
            <w:vAlign w:val="center"/>
          </w:tcPr>
          <w:p w14:paraId="06E0A5EC">
            <w:pPr>
              <w:pStyle w:val="27"/>
              <w:spacing w:line="360" w:lineRule="auto"/>
              <w:rPr>
                <w:rFonts w:hAnsi="宋体" w:cs="宋体"/>
                <w:szCs w:val="21"/>
              </w:rPr>
            </w:pPr>
            <w:r>
              <w:rPr>
                <w:rFonts w:hint="eastAsia" w:hAnsi="宋体" w:cs="宋体"/>
                <w:szCs w:val="21"/>
              </w:rPr>
              <w:t>详见《第一章 投标邀请》“申请人的资格要求”</w:t>
            </w:r>
          </w:p>
          <w:p w14:paraId="6EAB7B99">
            <w:pPr>
              <w:pStyle w:val="27"/>
              <w:spacing w:line="360" w:lineRule="auto"/>
              <w:rPr>
                <w:rFonts w:hAnsi="宋体" w:cs="宋体"/>
                <w:b/>
                <w:bCs/>
                <w:szCs w:val="21"/>
              </w:rPr>
            </w:pPr>
            <w:r>
              <w:rPr>
                <w:rFonts w:hint="eastAsia" w:hAnsi="宋体" w:cs="宋体"/>
                <w:b/>
                <w:bCs/>
                <w:szCs w:val="21"/>
              </w:rPr>
              <w:t>（投标人资格证明文件详见第七章 投标文件格式）</w:t>
            </w:r>
          </w:p>
        </w:tc>
      </w:tr>
      <w:tr w14:paraId="0F182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C3D57DC">
            <w:pPr>
              <w:pStyle w:val="27"/>
              <w:spacing w:line="360" w:lineRule="auto"/>
              <w:jc w:val="center"/>
              <w:rPr>
                <w:rFonts w:hAnsi="宋体" w:cs="宋体"/>
                <w:szCs w:val="21"/>
              </w:rPr>
            </w:pPr>
            <w:r>
              <w:rPr>
                <w:rFonts w:hint="eastAsia" w:hAnsi="宋体" w:cs="宋体"/>
                <w:szCs w:val="21"/>
              </w:rPr>
              <w:t>6</w:t>
            </w:r>
          </w:p>
        </w:tc>
        <w:tc>
          <w:tcPr>
            <w:tcW w:w="1038" w:type="dxa"/>
            <w:vAlign w:val="center"/>
          </w:tcPr>
          <w:p w14:paraId="09D608DE">
            <w:pPr>
              <w:pStyle w:val="27"/>
              <w:spacing w:line="360" w:lineRule="auto"/>
              <w:jc w:val="center"/>
              <w:rPr>
                <w:rFonts w:hAnsi="宋体" w:cs="宋体"/>
                <w:szCs w:val="21"/>
              </w:rPr>
            </w:pPr>
            <w:r>
              <w:rPr>
                <w:rFonts w:hint="eastAsia" w:hAnsi="宋体" w:cs="宋体"/>
                <w:szCs w:val="21"/>
              </w:rPr>
              <w:t>4.8</w:t>
            </w:r>
          </w:p>
        </w:tc>
        <w:tc>
          <w:tcPr>
            <w:tcW w:w="1690" w:type="dxa"/>
            <w:vAlign w:val="center"/>
          </w:tcPr>
          <w:p w14:paraId="3D30C190">
            <w:pPr>
              <w:pStyle w:val="27"/>
              <w:spacing w:line="360" w:lineRule="auto"/>
              <w:jc w:val="center"/>
              <w:rPr>
                <w:rFonts w:hAnsi="宋体" w:cs="宋体"/>
                <w:szCs w:val="21"/>
              </w:rPr>
            </w:pPr>
            <w:r>
              <w:rPr>
                <w:rFonts w:hint="eastAsia" w:hAnsi="宋体" w:cs="宋体"/>
                <w:szCs w:val="21"/>
              </w:rPr>
              <w:t>联合体投标</w:t>
            </w:r>
          </w:p>
        </w:tc>
        <w:tc>
          <w:tcPr>
            <w:tcW w:w="6673" w:type="dxa"/>
          </w:tcPr>
          <w:p w14:paraId="0A24EB80">
            <w:pPr>
              <w:pStyle w:val="27"/>
              <w:spacing w:line="360" w:lineRule="auto"/>
              <w:rPr>
                <w:rFonts w:hAnsi="宋体" w:cs="宋体"/>
                <w:szCs w:val="21"/>
              </w:rPr>
            </w:pPr>
            <w:r>
              <w:rPr>
                <w:rFonts w:hint="eastAsia" w:hAnsi="宋体" w:cs="宋体"/>
                <w:szCs w:val="21"/>
              </w:rPr>
              <w:t>不接受</w:t>
            </w:r>
          </w:p>
        </w:tc>
      </w:tr>
      <w:tr w14:paraId="56DE67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CCACED4">
            <w:pPr>
              <w:pStyle w:val="27"/>
              <w:spacing w:line="360" w:lineRule="auto"/>
              <w:jc w:val="center"/>
              <w:rPr>
                <w:rFonts w:hAnsi="宋体" w:cs="宋体"/>
                <w:szCs w:val="21"/>
              </w:rPr>
            </w:pPr>
            <w:r>
              <w:rPr>
                <w:rFonts w:hint="eastAsia" w:hAnsi="宋体" w:cs="宋体"/>
                <w:szCs w:val="21"/>
              </w:rPr>
              <w:t>7</w:t>
            </w:r>
          </w:p>
        </w:tc>
        <w:tc>
          <w:tcPr>
            <w:tcW w:w="1038" w:type="dxa"/>
            <w:vAlign w:val="center"/>
          </w:tcPr>
          <w:p w14:paraId="1FF93F9F">
            <w:pPr>
              <w:pStyle w:val="27"/>
              <w:spacing w:line="360" w:lineRule="auto"/>
              <w:jc w:val="center"/>
              <w:rPr>
                <w:rFonts w:hAnsi="宋体" w:cs="宋体"/>
                <w:szCs w:val="21"/>
              </w:rPr>
            </w:pPr>
            <w:r>
              <w:rPr>
                <w:rFonts w:hint="eastAsia" w:hAnsi="宋体" w:cs="宋体"/>
                <w:szCs w:val="21"/>
              </w:rPr>
              <w:t>6.1</w:t>
            </w:r>
          </w:p>
        </w:tc>
        <w:tc>
          <w:tcPr>
            <w:tcW w:w="1690" w:type="dxa"/>
            <w:vAlign w:val="center"/>
          </w:tcPr>
          <w:p w14:paraId="3335ADCD">
            <w:pPr>
              <w:pStyle w:val="27"/>
              <w:spacing w:line="360" w:lineRule="auto"/>
              <w:jc w:val="center"/>
              <w:rPr>
                <w:rFonts w:hAnsi="宋体" w:cs="宋体"/>
                <w:szCs w:val="21"/>
              </w:rPr>
            </w:pPr>
            <w:r>
              <w:rPr>
                <w:rFonts w:hint="eastAsia" w:hAnsi="宋体" w:cs="宋体"/>
                <w:szCs w:val="21"/>
              </w:rPr>
              <w:t>踏勘现场</w:t>
            </w:r>
          </w:p>
        </w:tc>
        <w:tc>
          <w:tcPr>
            <w:tcW w:w="6673" w:type="dxa"/>
          </w:tcPr>
          <w:p w14:paraId="2A066F0A">
            <w:pPr>
              <w:pStyle w:val="27"/>
              <w:spacing w:line="360" w:lineRule="auto"/>
              <w:rPr>
                <w:rFonts w:hAnsi="宋体" w:cs="宋体"/>
                <w:szCs w:val="21"/>
              </w:rPr>
            </w:pPr>
            <w:r>
              <w:rPr>
                <w:rFonts w:hint="eastAsia" w:hAnsi="宋体" w:cs="宋体"/>
                <w:szCs w:val="21"/>
              </w:rPr>
              <w:t>不统一组织</w:t>
            </w:r>
            <w:r>
              <w:rPr>
                <w:rFonts w:hint="eastAsia" w:hAnsi="宋体" w:cs="宋体"/>
                <w:snapToGrid w:val="0"/>
                <w:szCs w:val="21"/>
              </w:rPr>
              <w:t>，由各投标人自行查看现场。</w:t>
            </w:r>
          </w:p>
        </w:tc>
      </w:tr>
      <w:tr w14:paraId="0D829A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5AFE8C30">
            <w:pPr>
              <w:pStyle w:val="27"/>
              <w:spacing w:line="360" w:lineRule="auto"/>
              <w:jc w:val="center"/>
              <w:rPr>
                <w:rFonts w:hAnsi="宋体" w:cs="宋体"/>
                <w:szCs w:val="21"/>
              </w:rPr>
            </w:pPr>
            <w:r>
              <w:rPr>
                <w:rFonts w:hint="eastAsia" w:hAnsi="宋体" w:cs="宋体"/>
                <w:szCs w:val="21"/>
              </w:rPr>
              <w:t>8</w:t>
            </w:r>
          </w:p>
        </w:tc>
        <w:tc>
          <w:tcPr>
            <w:tcW w:w="1038" w:type="dxa"/>
            <w:vAlign w:val="center"/>
          </w:tcPr>
          <w:p w14:paraId="1C4144B3">
            <w:pPr>
              <w:pStyle w:val="27"/>
              <w:spacing w:line="360" w:lineRule="auto"/>
              <w:jc w:val="center"/>
              <w:rPr>
                <w:rFonts w:hAnsi="宋体" w:cs="宋体"/>
                <w:szCs w:val="21"/>
              </w:rPr>
            </w:pPr>
            <w:r>
              <w:rPr>
                <w:rFonts w:hint="eastAsia" w:hAnsi="宋体" w:cs="宋体"/>
                <w:szCs w:val="21"/>
              </w:rPr>
              <w:t>14.1</w:t>
            </w:r>
          </w:p>
        </w:tc>
        <w:tc>
          <w:tcPr>
            <w:tcW w:w="1690" w:type="dxa"/>
            <w:vAlign w:val="center"/>
          </w:tcPr>
          <w:p w14:paraId="77BACEB9">
            <w:pPr>
              <w:pStyle w:val="27"/>
              <w:spacing w:line="360" w:lineRule="auto"/>
              <w:jc w:val="center"/>
              <w:rPr>
                <w:rFonts w:hAnsi="宋体" w:cs="宋体"/>
                <w:szCs w:val="21"/>
              </w:rPr>
            </w:pPr>
            <w:r>
              <w:rPr>
                <w:rFonts w:hint="eastAsia" w:hAnsi="宋体" w:cs="宋体"/>
                <w:szCs w:val="21"/>
              </w:rPr>
              <w:t>投标有效期</w:t>
            </w:r>
          </w:p>
        </w:tc>
        <w:tc>
          <w:tcPr>
            <w:tcW w:w="6673" w:type="dxa"/>
          </w:tcPr>
          <w:p w14:paraId="48C7B454">
            <w:pPr>
              <w:pStyle w:val="27"/>
              <w:spacing w:line="360" w:lineRule="auto"/>
              <w:rPr>
                <w:rFonts w:hAnsi="宋体" w:cs="宋体"/>
                <w:szCs w:val="21"/>
              </w:rPr>
            </w:pPr>
            <w:r>
              <w:rPr>
                <w:rFonts w:hint="eastAsia" w:hAnsi="宋体" w:cs="宋体"/>
                <w:szCs w:val="21"/>
              </w:rPr>
              <w:t>90日历天（从投标截止之日算起）</w:t>
            </w:r>
          </w:p>
        </w:tc>
      </w:tr>
      <w:tr w14:paraId="66E1EA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6C479368">
            <w:pPr>
              <w:pStyle w:val="27"/>
              <w:spacing w:line="360" w:lineRule="auto"/>
              <w:jc w:val="center"/>
              <w:rPr>
                <w:rFonts w:hAnsi="宋体" w:cs="宋体"/>
                <w:szCs w:val="21"/>
              </w:rPr>
            </w:pPr>
            <w:r>
              <w:rPr>
                <w:rFonts w:hint="eastAsia" w:hAnsi="宋体" w:cs="宋体"/>
                <w:szCs w:val="21"/>
              </w:rPr>
              <w:t>9</w:t>
            </w:r>
          </w:p>
        </w:tc>
        <w:tc>
          <w:tcPr>
            <w:tcW w:w="1038" w:type="dxa"/>
            <w:vAlign w:val="center"/>
          </w:tcPr>
          <w:p w14:paraId="4512DABA">
            <w:pPr>
              <w:pStyle w:val="27"/>
              <w:spacing w:line="360" w:lineRule="auto"/>
              <w:jc w:val="center"/>
              <w:rPr>
                <w:rFonts w:hAnsi="宋体" w:cs="宋体"/>
                <w:szCs w:val="21"/>
              </w:rPr>
            </w:pPr>
            <w:r>
              <w:rPr>
                <w:rFonts w:hint="eastAsia" w:hAnsi="宋体" w:cs="宋体"/>
                <w:szCs w:val="21"/>
              </w:rPr>
              <w:t>15.2</w:t>
            </w:r>
          </w:p>
        </w:tc>
        <w:tc>
          <w:tcPr>
            <w:tcW w:w="1690" w:type="dxa"/>
            <w:vAlign w:val="center"/>
          </w:tcPr>
          <w:p w14:paraId="212FB991">
            <w:pPr>
              <w:pStyle w:val="27"/>
              <w:spacing w:line="360" w:lineRule="auto"/>
              <w:jc w:val="center"/>
              <w:rPr>
                <w:rFonts w:hAnsi="宋体" w:cs="宋体"/>
                <w:szCs w:val="21"/>
              </w:rPr>
            </w:pPr>
            <w:r>
              <w:rPr>
                <w:rFonts w:hint="eastAsia" w:hAnsi="宋体" w:cs="宋体"/>
                <w:szCs w:val="21"/>
              </w:rPr>
              <w:t>投标保证金</w:t>
            </w:r>
          </w:p>
        </w:tc>
        <w:tc>
          <w:tcPr>
            <w:tcW w:w="6673" w:type="dxa"/>
            <w:vAlign w:val="center"/>
          </w:tcPr>
          <w:p w14:paraId="19EF3D2A">
            <w:pPr>
              <w:tabs>
                <w:tab w:val="left" w:pos="915"/>
              </w:tabs>
              <w:spacing w:line="360" w:lineRule="auto"/>
              <w:rPr>
                <w:rFonts w:ascii="宋体" w:hAnsi="宋体" w:cs="宋体"/>
                <w:szCs w:val="21"/>
              </w:rPr>
            </w:pPr>
            <w:r>
              <w:rPr>
                <w:rFonts w:hint="eastAsia" w:ascii="宋体" w:hAnsi="宋体" w:cs="宋体"/>
                <w:szCs w:val="21"/>
              </w:rPr>
              <w:t>不要求向采购代理机构提交</w:t>
            </w:r>
          </w:p>
        </w:tc>
      </w:tr>
      <w:tr w14:paraId="12744C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0D1B033E">
            <w:pPr>
              <w:pStyle w:val="27"/>
              <w:spacing w:line="360" w:lineRule="auto"/>
              <w:jc w:val="center"/>
              <w:rPr>
                <w:rFonts w:hAnsi="宋体" w:cs="宋体"/>
                <w:szCs w:val="21"/>
              </w:rPr>
            </w:pPr>
            <w:r>
              <w:rPr>
                <w:rFonts w:hint="eastAsia" w:hAnsi="宋体" w:cs="宋体"/>
                <w:szCs w:val="21"/>
              </w:rPr>
              <w:t>10</w:t>
            </w:r>
          </w:p>
        </w:tc>
        <w:tc>
          <w:tcPr>
            <w:tcW w:w="1038" w:type="dxa"/>
            <w:vAlign w:val="center"/>
          </w:tcPr>
          <w:p w14:paraId="7EB79E4C">
            <w:pPr>
              <w:pStyle w:val="27"/>
              <w:spacing w:line="360" w:lineRule="auto"/>
              <w:jc w:val="center"/>
              <w:rPr>
                <w:rFonts w:hAnsi="宋体" w:cs="宋体"/>
                <w:szCs w:val="21"/>
              </w:rPr>
            </w:pPr>
            <w:r>
              <w:rPr>
                <w:rFonts w:hint="eastAsia" w:hAnsi="宋体" w:cs="宋体"/>
                <w:szCs w:val="21"/>
              </w:rPr>
              <w:t>16.1</w:t>
            </w:r>
          </w:p>
        </w:tc>
        <w:tc>
          <w:tcPr>
            <w:tcW w:w="1690" w:type="dxa"/>
            <w:vAlign w:val="center"/>
          </w:tcPr>
          <w:p w14:paraId="146B868E">
            <w:pPr>
              <w:pStyle w:val="27"/>
              <w:spacing w:line="360" w:lineRule="auto"/>
              <w:jc w:val="center"/>
              <w:rPr>
                <w:rFonts w:hAnsi="宋体" w:cs="宋体"/>
                <w:szCs w:val="21"/>
              </w:rPr>
            </w:pPr>
            <w:r>
              <w:rPr>
                <w:rFonts w:hint="eastAsia" w:hAnsi="宋体" w:cs="宋体"/>
                <w:szCs w:val="21"/>
              </w:rPr>
              <w:t>投标预备会</w:t>
            </w:r>
          </w:p>
          <w:p w14:paraId="40660F1A">
            <w:pPr>
              <w:pStyle w:val="27"/>
              <w:spacing w:line="360" w:lineRule="auto"/>
              <w:jc w:val="center"/>
              <w:rPr>
                <w:rFonts w:hAnsi="宋体" w:cs="宋体"/>
                <w:szCs w:val="21"/>
              </w:rPr>
            </w:pPr>
            <w:r>
              <w:rPr>
                <w:rFonts w:hint="eastAsia" w:hAnsi="宋体" w:cs="宋体"/>
                <w:szCs w:val="21"/>
              </w:rPr>
              <w:t>（答疑会）</w:t>
            </w:r>
          </w:p>
        </w:tc>
        <w:tc>
          <w:tcPr>
            <w:tcW w:w="6673" w:type="dxa"/>
            <w:vAlign w:val="center"/>
          </w:tcPr>
          <w:p w14:paraId="47584577">
            <w:pPr>
              <w:pStyle w:val="27"/>
              <w:spacing w:line="360" w:lineRule="auto"/>
              <w:rPr>
                <w:rFonts w:hAnsi="宋体" w:cs="宋体"/>
                <w:szCs w:val="21"/>
              </w:rPr>
            </w:pPr>
            <w:r>
              <w:rPr>
                <w:rFonts w:hint="eastAsia" w:hAnsi="宋体" w:cs="宋体"/>
                <w:szCs w:val="21"/>
              </w:rPr>
              <w:t>不召开</w:t>
            </w:r>
          </w:p>
        </w:tc>
      </w:tr>
      <w:tr w14:paraId="0B083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1985137">
            <w:pPr>
              <w:pStyle w:val="27"/>
              <w:spacing w:line="360" w:lineRule="auto"/>
              <w:jc w:val="center"/>
              <w:rPr>
                <w:rFonts w:hAnsi="宋体" w:cs="宋体"/>
                <w:szCs w:val="21"/>
              </w:rPr>
            </w:pPr>
            <w:r>
              <w:rPr>
                <w:rFonts w:hint="eastAsia" w:hAnsi="宋体" w:cs="宋体"/>
                <w:szCs w:val="21"/>
              </w:rPr>
              <w:t>11</w:t>
            </w:r>
          </w:p>
        </w:tc>
        <w:tc>
          <w:tcPr>
            <w:tcW w:w="1038" w:type="dxa"/>
            <w:vAlign w:val="center"/>
          </w:tcPr>
          <w:p w14:paraId="10C69D00">
            <w:pPr>
              <w:pStyle w:val="27"/>
              <w:spacing w:line="360" w:lineRule="auto"/>
              <w:jc w:val="center"/>
              <w:rPr>
                <w:rFonts w:hAnsi="宋体" w:cs="宋体"/>
                <w:szCs w:val="21"/>
              </w:rPr>
            </w:pPr>
            <w:r>
              <w:rPr>
                <w:rFonts w:hint="eastAsia" w:hAnsi="宋体" w:cs="宋体"/>
                <w:szCs w:val="21"/>
              </w:rPr>
              <w:t>17.1</w:t>
            </w:r>
          </w:p>
        </w:tc>
        <w:tc>
          <w:tcPr>
            <w:tcW w:w="1690" w:type="dxa"/>
            <w:vAlign w:val="center"/>
          </w:tcPr>
          <w:p w14:paraId="15B31BEC">
            <w:pPr>
              <w:pStyle w:val="27"/>
              <w:spacing w:line="360" w:lineRule="auto"/>
              <w:jc w:val="center"/>
              <w:rPr>
                <w:rFonts w:hAnsi="宋体" w:cs="宋体"/>
                <w:szCs w:val="21"/>
              </w:rPr>
            </w:pPr>
            <w:r>
              <w:rPr>
                <w:rFonts w:hint="eastAsia" w:hAnsi="宋体" w:cs="宋体"/>
                <w:szCs w:val="21"/>
              </w:rPr>
              <w:t>投标文件份数</w:t>
            </w:r>
          </w:p>
        </w:tc>
        <w:tc>
          <w:tcPr>
            <w:tcW w:w="6673" w:type="dxa"/>
          </w:tcPr>
          <w:p w14:paraId="2C4EFF94">
            <w:pPr>
              <w:pStyle w:val="19"/>
              <w:spacing w:line="360" w:lineRule="auto"/>
              <w:rPr>
                <w:rFonts w:ascii="宋体" w:hAnsi="宋体" w:cs="宋体"/>
                <w:szCs w:val="21"/>
              </w:rPr>
            </w:pPr>
            <w:r>
              <w:rPr>
                <w:rFonts w:hint="eastAsia" w:ascii="宋体" w:hAnsi="宋体" w:cs="宋体"/>
                <w:szCs w:val="21"/>
              </w:rPr>
              <w:t>正本1份，副本5份，电子备份光盘（或U盘）2份（内容为投标文件正本盖章扫描件），</w:t>
            </w:r>
            <w:r>
              <w:rPr>
                <w:rFonts w:hint="eastAsia" w:ascii="宋体" w:hAnsi="宋体" w:cs="宋体"/>
                <w:snapToGrid w:val="0"/>
                <w:kern w:val="0"/>
                <w:szCs w:val="21"/>
              </w:rPr>
              <w:t>投标文件必须标注页码并装订成册</w:t>
            </w:r>
            <w:r>
              <w:rPr>
                <w:rFonts w:hint="eastAsia" w:ascii="宋体" w:hAnsi="宋体" w:cs="宋体"/>
                <w:szCs w:val="21"/>
              </w:rPr>
              <w:t>。</w:t>
            </w:r>
          </w:p>
        </w:tc>
      </w:tr>
      <w:tr w14:paraId="19BC2C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F2EDD4C">
            <w:pPr>
              <w:pStyle w:val="27"/>
              <w:spacing w:line="360" w:lineRule="auto"/>
              <w:jc w:val="center"/>
              <w:rPr>
                <w:rFonts w:hAnsi="宋体" w:cs="宋体"/>
                <w:szCs w:val="21"/>
              </w:rPr>
            </w:pPr>
            <w:r>
              <w:rPr>
                <w:rFonts w:hint="eastAsia" w:hAnsi="宋体" w:cs="宋体"/>
                <w:szCs w:val="21"/>
              </w:rPr>
              <w:t>12</w:t>
            </w:r>
          </w:p>
        </w:tc>
        <w:tc>
          <w:tcPr>
            <w:tcW w:w="1038" w:type="dxa"/>
            <w:vAlign w:val="center"/>
          </w:tcPr>
          <w:p w14:paraId="044AD7B2">
            <w:pPr>
              <w:pStyle w:val="27"/>
              <w:spacing w:line="360" w:lineRule="auto"/>
              <w:jc w:val="center"/>
              <w:rPr>
                <w:rFonts w:hAnsi="宋体" w:cs="宋体"/>
                <w:szCs w:val="21"/>
              </w:rPr>
            </w:pPr>
            <w:r>
              <w:rPr>
                <w:rFonts w:hint="eastAsia" w:hAnsi="宋体" w:cs="宋体"/>
                <w:szCs w:val="21"/>
              </w:rPr>
              <w:t>18.8</w:t>
            </w:r>
          </w:p>
        </w:tc>
        <w:tc>
          <w:tcPr>
            <w:tcW w:w="1690" w:type="dxa"/>
            <w:vAlign w:val="center"/>
          </w:tcPr>
          <w:p w14:paraId="4BE52725">
            <w:pPr>
              <w:pStyle w:val="27"/>
              <w:spacing w:line="360" w:lineRule="auto"/>
              <w:jc w:val="center"/>
              <w:rPr>
                <w:rFonts w:hAnsi="宋体" w:cs="宋体"/>
                <w:szCs w:val="21"/>
              </w:rPr>
            </w:pPr>
            <w:r>
              <w:rPr>
                <w:rFonts w:hint="eastAsia" w:hAnsi="宋体" w:cs="宋体"/>
                <w:szCs w:val="21"/>
              </w:rPr>
              <w:t>开标</w:t>
            </w:r>
          </w:p>
        </w:tc>
        <w:tc>
          <w:tcPr>
            <w:tcW w:w="6673" w:type="dxa"/>
          </w:tcPr>
          <w:p w14:paraId="64C2DDB5">
            <w:pPr>
              <w:pStyle w:val="27"/>
              <w:spacing w:line="360" w:lineRule="auto"/>
              <w:rPr>
                <w:rFonts w:hAnsi="宋体" w:cs="宋体"/>
                <w:szCs w:val="21"/>
              </w:rPr>
            </w:pPr>
            <w:r>
              <w:rPr>
                <w:rFonts w:hint="eastAsia" w:hAnsi="宋体" w:cs="宋体"/>
                <w:szCs w:val="21"/>
              </w:rPr>
              <w:t>详见《第一章 投标邀请》</w:t>
            </w:r>
          </w:p>
        </w:tc>
      </w:tr>
      <w:tr w14:paraId="3EEBAC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6A3605C">
            <w:pPr>
              <w:pStyle w:val="27"/>
              <w:spacing w:line="360" w:lineRule="auto"/>
              <w:jc w:val="center"/>
              <w:rPr>
                <w:rFonts w:hAnsi="宋体" w:cs="宋体"/>
                <w:szCs w:val="21"/>
              </w:rPr>
            </w:pPr>
            <w:r>
              <w:rPr>
                <w:rFonts w:hint="eastAsia" w:hAnsi="宋体" w:cs="宋体"/>
                <w:szCs w:val="21"/>
              </w:rPr>
              <w:t>13</w:t>
            </w:r>
          </w:p>
        </w:tc>
        <w:tc>
          <w:tcPr>
            <w:tcW w:w="1038" w:type="dxa"/>
            <w:vAlign w:val="center"/>
          </w:tcPr>
          <w:p w14:paraId="60C482FD">
            <w:pPr>
              <w:pStyle w:val="27"/>
              <w:spacing w:line="360" w:lineRule="auto"/>
              <w:jc w:val="center"/>
              <w:rPr>
                <w:rFonts w:hAnsi="宋体" w:cs="宋体"/>
                <w:szCs w:val="21"/>
              </w:rPr>
            </w:pPr>
            <w:r>
              <w:rPr>
                <w:rFonts w:hint="eastAsia" w:hAnsi="宋体" w:cs="宋体"/>
                <w:szCs w:val="21"/>
              </w:rPr>
              <w:t>19.2</w:t>
            </w:r>
          </w:p>
        </w:tc>
        <w:tc>
          <w:tcPr>
            <w:tcW w:w="1690" w:type="dxa"/>
            <w:vAlign w:val="center"/>
          </w:tcPr>
          <w:p w14:paraId="57072467">
            <w:pPr>
              <w:pStyle w:val="27"/>
              <w:spacing w:line="360" w:lineRule="auto"/>
              <w:jc w:val="center"/>
              <w:rPr>
                <w:rFonts w:hAnsi="宋体" w:cs="宋体"/>
                <w:szCs w:val="21"/>
              </w:rPr>
            </w:pPr>
            <w:r>
              <w:rPr>
                <w:rFonts w:hint="eastAsia" w:hAnsi="宋体" w:cs="宋体"/>
                <w:szCs w:val="21"/>
              </w:rPr>
              <w:t>投标截止时间</w:t>
            </w:r>
          </w:p>
        </w:tc>
        <w:tc>
          <w:tcPr>
            <w:tcW w:w="6673" w:type="dxa"/>
          </w:tcPr>
          <w:p w14:paraId="3C6A4982">
            <w:pPr>
              <w:pStyle w:val="27"/>
              <w:spacing w:line="360" w:lineRule="auto"/>
              <w:rPr>
                <w:rFonts w:hAnsi="宋体" w:cs="宋体"/>
                <w:b/>
                <w:szCs w:val="21"/>
              </w:rPr>
            </w:pPr>
            <w:r>
              <w:rPr>
                <w:rFonts w:hint="eastAsia" w:hAnsi="宋体" w:cs="宋体"/>
                <w:szCs w:val="21"/>
              </w:rPr>
              <w:t>详见《第一章 投标邀请》</w:t>
            </w:r>
          </w:p>
        </w:tc>
      </w:tr>
      <w:tr w14:paraId="34FB37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D3A5B9F">
            <w:pPr>
              <w:pStyle w:val="27"/>
              <w:spacing w:line="360" w:lineRule="auto"/>
              <w:jc w:val="center"/>
              <w:rPr>
                <w:rFonts w:hAnsi="宋体" w:cs="宋体"/>
                <w:szCs w:val="21"/>
              </w:rPr>
            </w:pPr>
            <w:r>
              <w:rPr>
                <w:rFonts w:hint="eastAsia" w:hAnsi="宋体" w:cs="宋体"/>
                <w:szCs w:val="21"/>
              </w:rPr>
              <w:t>14</w:t>
            </w:r>
          </w:p>
        </w:tc>
        <w:tc>
          <w:tcPr>
            <w:tcW w:w="1038" w:type="dxa"/>
            <w:vAlign w:val="center"/>
          </w:tcPr>
          <w:p w14:paraId="43E66DA6">
            <w:pPr>
              <w:pStyle w:val="27"/>
              <w:spacing w:line="360" w:lineRule="auto"/>
              <w:jc w:val="center"/>
              <w:rPr>
                <w:rFonts w:hAnsi="宋体" w:cs="宋体"/>
                <w:szCs w:val="21"/>
              </w:rPr>
            </w:pPr>
            <w:r>
              <w:rPr>
                <w:rFonts w:hint="eastAsia" w:hAnsi="宋体" w:cs="宋体"/>
                <w:szCs w:val="21"/>
              </w:rPr>
              <w:t>26.3</w:t>
            </w:r>
          </w:p>
        </w:tc>
        <w:tc>
          <w:tcPr>
            <w:tcW w:w="1690" w:type="dxa"/>
            <w:vAlign w:val="center"/>
          </w:tcPr>
          <w:p w14:paraId="2AE78AE1">
            <w:pPr>
              <w:pStyle w:val="27"/>
              <w:spacing w:line="360" w:lineRule="auto"/>
              <w:jc w:val="center"/>
              <w:rPr>
                <w:rFonts w:hAnsi="宋体" w:cs="宋体"/>
                <w:szCs w:val="21"/>
              </w:rPr>
            </w:pPr>
            <w:r>
              <w:rPr>
                <w:rFonts w:hint="eastAsia" w:hAnsi="宋体" w:cs="宋体"/>
                <w:szCs w:val="21"/>
              </w:rPr>
              <w:t>评标办法</w:t>
            </w:r>
          </w:p>
        </w:tc>
        <w:tc>
          <w:tcPr>
            <w:tcW w:w="6673" w:type="dxa"/>
          </w:tcPr>
          <w:p w14:paraId="11E614F9">
            <w:pPr>
              <w:pStyle w:val="27"/>
              <w:spacing w:line="360" w:lineRule="auto"/>
              <w:rPr>
                <w:rFonts w:hAnsi="宋体" w:cs="宋体"/>
                <w:szCs w:val="21"/>
              </w:rPr>
            </w:pPr>
            <w:r>
              <w:rPr>
                <w:rFonts w:hint="eastAsia" w:hAnsi="宋体" w:cs="宋体"/>
                <w:szCs w:val="21"/>
              </w:rPr>
              <w:t>综合评分法</w:t>
            </w:r>
          </w:p>
        </w:tc>
      </w:tr>
      <w:tr w14:paraId="75BD3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0F61ECB">
            <w:pPr>
              <w:pStyle w:val="27"/>
              <w:spacing w:line="360" w:lineRule="auto"/>
              <w:jc w:val="center"/>
              <w:rPr>
                <w:rFonts w:hAnsi="宋体" w:cs="宋体"/>
                <w:szCs w:val="21"/>
              </w:rPr>
            </w:pPr>
            <w:r>
              <w:rPr>
                <w:rFonts w:hint="eastAsia" w:hAnsi="宋体" w:cs="宋体"/>
                <w:szCs w:val="21"/>
              </w:rPr>
              <w:t>15</w:t>
            </w:r>
          </w:p>
        </w:tc>
        <w:tc>
          <w:tcPr>
            <w:tcW w:w="1038" w:type="dxa"/>
            <w:vAlign w:val="center"/>
          </w:tcPr>
          <w:p w14:paraId="0A89A003">
            <w:pPr>
              <w:pStyle w:val="27"/>
              <w:spacing w:line="360" w:lineRule="auto"/>
              <w:jc w:val="center"/>
              <w:rPr>
                <w:rFonts w:hAnsi="宋体" w:cs="宋体"/>
                <w:szCs w:val="21"/>
              </w:rPr>
            </w:pPr>
            <w:r>
              <w:rPr>
                <w:rFonts w:hint="eastAsia" w:hAnsi="宋体" w:cs="宋体"/>
                <w:szCs w:val="21"/>
              </w:rPr>
              <w:t>33.1</w:t>
            </w:r>
          </w:p>
        </w:tc>
        <w:tc>
          <w:tcPr>
            <w:tcW w:w="1690" w:type="dxa"/>
            <w:vAlign w:val="center"/>
          </w:tcPr>
          <w:p w14:paraId="2DCF0B40">
            <w:pPr>
              <w:pStyle w:val="27"/>
              <w:spacing w:line="360" w:lineRule="auto"/>
              <w:jc w:val="center"/>
              <w:rPr>
                <w:rFonts w:hAnsi="宋体" w:cs="宋体"/>
                <w:snapToGrid w:val="0"/>
                <w:kern w:val="0"/>
                <w:szCs w:val="21"/>
              </w:rPr>
            </w:pPr>
            <w:r>
              <w:rPr>
                <w:rFonts w:hint="eastAsia" w:hAnsi="宋体" w:cs="宋体"/>
                <w:snapToGrid w:val="0"/>
                <w:kern w:val="0"/>
                <w:szCs w:val="21"/>
              </w:rPr>
              <w:t>履约保证金</w:t>
            </w:r>
          </w:p>
        </w:tc>
        <w:tc>
          <w:tcPr>
            <w:tcW w:w="6673" w:type="dxa"/>
          </w:tcPr>
          <w:p w14:paraId="39D67CF3">
            <w:pPr>
              <w:pStyle w:val="27"/>
              <w:spacing w:line="360" w:lineRule="auto"/>
              <w:rPr>
                <w:rFonts w:hAnsi="宋体" w:cs="宋体"/>
                <w:szCs w:val="21"/>
              </w:rPr>
            </w:pPr>
            <w:r>
              <w:rPr>
                <w:rFonts w:hint="eastAsia"/>
                <w:snapToGrid w:val="0"/>
                <w:kern w:val="0"/>
              </w:rPr>
              <w:t>按合同执行</w:t>
            </w:r>
          </w:p>
        </w:tc>
      </w:tr>
      <w:tr w14:paraId="0EC332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28" w:type="dxa"/>
            <w:vAlign w:val="center"/>
          </w:tcPr>
          <w:p w14:paraId="64BAF949">
            <w:pPr>
              <w:pStyle w:val="27"/>
              <w:spacing w:line="360" w:lineRule="auto"/>
              <w:jc w:val="center"/>
              <w:rPr>
                <w:rFonts w:hAnsi="宋体" w:cs="宋体"/>
                <w:szCs w:val="21"/>
              </w:rPr>
            </w:pPr>
            <w:r>
              <w:rPr>
                <w:rFonts w:hint="eastAsia" w:hAnsi="宋体" w:cs="宋体"/>
                <w:szCs w:val="21"/>
              </w:rPr>
              <w:t>16</w:t>
            </w:r>
          </w:p>
        </w:tc>
        <w:tc>
          <w:tcPr>
            <w:tcW w:w="1038" w:type="dxa"/>
            <w:vAlign w:val="center"/>
          </w:tcPr>
          <w:p w14:paraId="768DAEAB">
            <w:pPr>
              <w:pStyle w:val="27"/>
              <w:spacing w:line="360" w:lineRule="auto"/>
              <w:jc w:val="center"/>
              <w:rPr>
                <w:rFonts w:hAnsi="宋体" w:cs="宋体"/>
                <w:szCs w:val="21"/>
              </w:rPr>
            </w:pPr>
            <w:r>
              <w:rPr>
                <w:rFonts w:hint="eastAsia" w:hAnsi="宋体" w:cs="宋体"/>
                <w:szCs w:val="21"/>
              </w:rPr>
              <w:t>34.1</w:t>
            </w:r>
          </w:p>
        </w:tc>
        <w:tc>
          <w:tcPr>
            <w:tcW w:w="1690" w:type="dxa"/>
            <w:vAlign w:val="center"/>
          </w:tcPr>
          <w:p w14:paraId="315608B9">
            <w:pPr>
              <w:pStyle w:val="27"/>
              <w:spacing w:line="360" w:lineRule="auto"/>
              <w:jc w:val="center"/>
              <w:rPr>
                <w:rFonts w:hAnsi="宋体" w:cs="宋体"/>
                <w:szCs w:val="21"/>
              </w:rPr>
            </w:pPr>
            <w:r>
              <w:rPr>
                <w:rFonts w:hint="eastAsia" w:hAnsi="宋体" w:cs="宋体"/>
                <w:szCs w:val="21"/>
              </w:rPr>
              <w:t>代理服务费</w:t>
            </w:r>
          </w:p>
        </w:tc>
        <w:tc>
          <w:tcPr>
            <w:tcW w:w="6673" w:type="dxa"/>
            <w:vAlign w:val="center"/>
          </w:tcPr>
          <w:p w14:paraId="42C18E88">
            <w:pPr>
              <w:pStyle w:val="27"/>
              <w:spacing w:line="360" w:lineRule="auto"/>
              <w:rPr>
                <w:rFonts w:hAnsi="宋体" w:cs="宋体"/>
                <w:szCs w:val="21"/>
              </w:rPr>
            </w:pPr>
            <w:r>
              <w:rPr>
                <w:rFonts w:hint="eastAsia" w:hAnsi="宋体" w:cs="宋体"/>
                <w:szCs w:val="21"/>
              </w:rPr>
              <w:t>☑以中标金额作为计算依据，向中标供应商收取代理服务费。</w:t>
            </w:r>
          </w:p>
        </w:tc>
      </w:tr>
    </w:tbl>
    <w:p w14:paraId="79F92203">
      <w:pPr>
        <w:spacing w:line="240" w:lineRule="exact"/>
      </w:pPr>
    </w:p>
    <w:p w14:paraId="01881F74">
      <w:pPr>
        <w:ind w:firstLine="414"/>
        <w:jc w:val="left"/>
      </w:pPr>
    </w:p>
    <w:p w14:paraId="24119D2C">
      <w:r>
        <w:br w:type="page"/>
      </w:r>
    </w:p>
    <w:p w14:paraId="1E8FC970">
      <w:pPr>
        <w:ind w:firstLine="414"/>
        <w:jc w:val="left"/>
      </w:pPr>
    </w:p>
    <w:p w14:paraId="54319280">
      <w:pPr>
        <w:pStyle w:val="2"/>
      </w:pPr>
      <w:bookmarkStart w:id="26" w:name="_Toc32719"/>
      <w:r>
        <w:rPr>
          <w:rFonts w:hint="eastAsia"/>
        </w:rPr>
        <w:t>第六章  投标文件格式</w:t>
      </w:r>
      <w:bookmarkEnd w:id="26"/>
    </w:p>
    <w:p w14:paraId="599BD499">
      <w:pPr>
        <w:jc w:val="center"/>
        <w:rPr>
          <w:b/>
          <w:sz w:val="52"/>
          <w:szCs w:val="52"/>
        </w:rPr>
      </w:pPr>
    </w:p>
    <w:p w14:paraId="76983BB8">
      <w:pPr>
        <w:pStyle w:val="4"/>
        <w:spacing w:line="400" w:lineRule="exact"/>
        <w:rPr>
          <w:rFonts w:ascii="仿宋" w:hAnsi="仿宋" w:eastAsia="仿宋"/>
          <w:b/>
          <w:bCs/>
        </w:rPr>
      </w:pPr>
      <w:bookmarkStart w:id="27" w:name="_Toc31468"/>
      <w:bookmarkStart w:id="28" w:name="_Toc44691395"/>
      <w:bookmarkStart w:id="29" w:name="_Toc25194"/>
      <w:bookmarkStart w:id="30" w:name="_Toc11772"/>
      <w:bookmarkStart w:id="31" w:name="_Toc12033"/>
      <w:bookmarkStart w:id="32" w:name="_Toc14934"/>
      <w:bookmarkStart w:id="33" w:name="_Toc44691163"/>
      <w:bookmarkStart w:id="34" w:name="_Toc44690704"/>
      <w:bookmarkStart w:id="35" w:name="_Toc44690431"/>
      <w:r>
        <w:rPr>
          <w:rFonts w:hint="eastAsia" w:ascii="仿宋" w:hAnsi="仿宋" w:eastAsia="仿宋"/>
          <w:b/>
          <w:bCs/>
        </w:rPr>
        <w:t>投标文件编制说明</w:t>
      </w:r>
      <w:bookmarkEnd w:id="27"/>
      <w:bookmarkEnd w:id="28"/>
      <w:bookmarkEnd w:id="29"/>
      <w:bookmarkEnd w:id="30"/>
      <w:bookmarkEnd w:id="31"/>
      <w:bookmarkEnd w:id="32"/>
      <w:bookmarkEnd w:id="33"/>
      <w:bookmarkEnd w:id="34"/>
      <w:bookmarkEnd w:id="35"/>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2CDA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56BF512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1B38C7F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15788F4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23FC00B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2A1D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71D09A5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01C633E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606D03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详见“通用部分”第10条</w:t>
            </w:r>
          </w:p>
        </w:tc>
        <w:tc>
          <w:tcPr>
            <w:tcW w:w="4161" w:type="dxa"/>
            <w:vAlign w:val="center"/>
          </w:tcPr>
          <w:p w14:paraId="34855CD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FC8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431F44E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54D8440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1351237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详见“通用部分”第17-18条</w:t>
            </w:r>
          </w:p>
        </w:tc>
        <w:tc>
          <w:tcPr>
            <w:tcW w:w="4161" w:type="dxa"/>
            <w:vAlign w:val="center"/>
          </w:tcPr>
          <w:p w14:paraId="35228BA5">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2202D7D0">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6C3AEACC">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2D9296C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745E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DEA18E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08FDEE3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06D3BB88">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332875F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60621CC6">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A0FF79A">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5FC93C55">
      <w:pPr>
        <w:spacing w:line="360" w:lineRule="auto"/>
        <w:ind w:firstLine="420" w:firstLineChars="200"/>
        <w:rPr>
          <w:rFonts w:asciiTheme="minorEastAsia" w:hAnsiTheme="minorEastAsia" w:eastAsiaTheme="minorEastAsia"/>
        </w:rPr>
      </w:pPr>
    </w:p>
    <w:p w14:paraId="0FC86851">
      <w:pPr>
        <w:jc w:val="center"/>
        <w:rPr>
          <w:b/>
          <w:sz w:val="52"/>
          <w:szCs w:val="52"/>
        </w:rPr>
      </w:pPr>
    </w:p>
    <w:p w14:paraId="41866F4D"/>
    <w:p w14:paraId="57993578"/>
    <w:p w14:paraId="52FE1453">
      <w:pPr>
        <w:jc w:val="center"/>
        <w:rPr>
          <w:b/>
          <w:bCs/>
          <w:sz w:val="52"/>
        </w:rPr>
      </w:pPr>
    </w:p>
    <w:p w14:paraId="14AEA3C1">
      <w:pPr>
        <w:jc w:val="center"/>
        <w:rPr>
          <w:b/>
          <w:bCs/>
          <w:sz w:val="52"/>
        </w:rPr>
      </w:pPr>
    </w:p>
    <w:p w14:paraId="177B42C8">
      <w:pPr>
        <w:jc w:val="center"/>
        <w:rPr>
          <w:b/>
          <w:bCs/>
          <w:sz w:val="52"/>
        </w:rPr>
      </w:pPr>
      <w:r>
        <w:rPr>
          <w:rFonts w:hint="eastAsia"/>
          <w:b/>
          <w:bCs/>
          <w:sz w:val="52"/>
        </w:rPr>
        <w:t>投 标 文 件</w:t>
      </w:r>
    </w:p>
    <w:p w14:paraId="3345841D">
      <w:pPr>
        <w:jc w:val="center"/>
        <w:rPr>
          <w:b/>
          <w:bCs/>
        </w:rPr>
      </w:pPr>
    </w:p>
    <w:p w14:paraId="23158AD8">
      <w:pPr>
        <w:jc w:val="center"/>
        <w:rPr>
          <w:b/>
          <w:bCs/>
        </w:rPr>
      </w:pPr>
    </w:p>
    <w:p w14:paraId="2885D010">
      <w:pPr>
        <w:jc w:val="center"/>
        <w:rPr>
          <w:b/>
          <w:bCs/>
        </w:rPr>
      </w:pPr>
    </w:p>
    <w:p w14:paraId="28475091">
      <w:pPr>
        <w:jc w:val="center"/>
        <w:rPr>
          <w:b/>
          <w:bCs/>
        </w:rPr>
      </w:pPr>
    </w:p>
    <w:p w14:paraId="3D584844">
      <w:pPr>
        <w:jc w:val="center"/>
        <w:rPr>
          <w:b/>
          <w:bCs/>
        </w:rPr>
      </w:pPr>
    </w:p>
    <w:p w14:paraId="6A94EB92">
      <w:pPr>
        <w:jc w:val="center"/>
        <w:rPr>
          <w:b/>
          <w:bCs/>
        </w:rPr>
      </w:pPr>
    </w:p>
    <w:p w14:paraId="11117DC6">
      <w:pPr>
        <w:jc w:val="center"/>
        <w:rPr>
          <w:rFonts w:ascii="宋体" w:hAnsi="宋体"/>
          <w:b/>
          <w:bCs/>
          <w:sz w:val="30"/>
          <w:szCs w:val="30"/>
        </w:rPr>
      </w:pPr>
      <w:r>
        <w:rPr>
          <w:rFonts w:hint="eastAsia" w:ascii="宋体" w:hAnsi="宋体"/>
          <w:b/>
          <w:bCs/>
          <w:sz w:val="30"/>
          <w:szCs w:val="30"/>
        </w:rPr>
        <w:t>（正本/副本）</w:t>
      </w:r>
    </w:p>
    <w:p w14:paraId="1208A813">
      <w:pPr>
        <w:jc w:val="center"/>
        <w:rPr>
          <w:b/>
          <w:bCs/>
        </w:rPr>
      </w:pPr>
    </w:p>
    <w:p w14:paraId="57BD3861">
      <w:pPr>
        <w:jc w:val="center"/>
        <w:rPr>
          <w:b/>
          <w:bCs/>
        </w:rPr>
      </w:pPr>
    </w:p>
    <w:p w14:paraId="73B8EFCC">
      <w:pPr>
        <w:jc w:val="center"/>
        <w:rPr>
          <w:b/>
          <w:bCs/>
        </w:rPr>
      </w:pPr>
    </w:p>
    <w:p w14:paraId="550E09FE">
      <w:pPr>
        <w:jc w:val="center"/>
        <w:rPr>
          <w:b/>
          <w:bCs/>
        </w:rPr>
      </w:pPr>
    </w:p>
    <w:p w14:paraId="556D2115">
      <w:pPr>
        <w:jc w:val="center"/>
        <w:rPr>
          <w:b/>
          <w:bCs/>
        </w:rPr>
      </w:pPr>
    </w:p>
    <w:p w14:paraId="6B68E086">
      <w:pPr>
        <w:jc w:val="center"/>
        <w:rPr>
          <w:b/>
          <w:bCs/>
        </w:rPr>
      </w:pPr>
    </w:p>
    <w:p w14:paraId="3E862276">
      <w:pPr>
        <w:jc w:val="center"/>
        <w:rPr>
          <w:b/>
          <w:bCs/>
        </w:rPr>
      </w:pPr>
    </w:p>
    <w:p w14:paraId="3EA01E33">
      <w:pPr>
        <w:jc w:val="center"/>
        <w:rPr>
          <w:b/>
          <w:bCs/>
        </w:rPr>
      </w:pPr>
    </w:p>
    <w:p w14:paraId="0C112D9D">
      <w:pPr>
        <w:jc w:val="center"/>
        <w:rPr>
          <w:b/>
          <w:bCs/>
        </w:rPr>
      </w:pPr>
    </w:p>
    <w:p w14:paraId="3964A00D">
      <w:pPr>
        <w:jc w:val="center"/>
        <w:rPr>
          <w:b/>
          <w:bCs/>
        </w:rPr>
      </w:pPr>
    </w:p>
    <w:p w14:paraId="171C9E45">
      <w:pPr>
        <w:jc w:val="center"/>
        <w:rPr>
          <w:b/>
          <w:bCs/>
        </w:rPr>
      </w:pPr>
    </w:p>
    <w:p w14:paraId="6C89A2BF">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793CB62C">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77F5378">
      <w:pPr>
        <w:spacing w:line="480" w:lineRule="auto"/>
        <w:ind w:firstLine="1275" w:firstLineChars="529"/>
        <w:rPr>
          <w:b/>
          <w:bCs/>
          <w:sz w:val="24"/>
        </w:rPr>
      </w:pPr>
      <w:r>
        <w:rPr>
          <w:rFonts w:hint="eastAsia"/>
          <w:b/>
          <w:bCs/>
          <w:sz w:val="24"/>
        </w:rPr>
        <w:t>法定代表人或</w:t>
      </w:r>
    </w:p>
    <w:p w14:paraId="7369EEAF">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48B7400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E7BFF0E">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46B1F2AA">
      <w:pPr>
        <w:spacing w:line="400" w:lineRule="exact"/>
        <w:rPr>
          <w:rFonts w:ascii="仿宋" w:hAnsi="仿宋" w:eastAsia="仿宋"/>
        </w:rPr>
      </w:pPr>
      <w:bookmarkStart w:id="36" w:name="_投标文件格式（第一册）"/>
      <w:bookmarkEnd w:id="36"/>
      <w:bookmarkStart w:id="37" w:name="q0"/>
    </w:p>
    <w:p w14:paraId="3869B46A">
      <w:pPr>
        <w:spacing w:line="400" w:lineRule="exact"/>
        <w:rPr>
          <w:rFonts w:ascii="仿宋" w:hAnsi="仿宋" w:eastAsia="仿宋"/>
        </w:rPr>
      </w:pPr>
    </w:p>
    <w:p w14:paraId="4DD07D0A">
      <w:pPr>
        <w:spacing w:line="400" w:lineRule="exact"/>
        <w:rPr>
          <w:rFonts w:ascii="仿宋" w:hAnsi="仿宋" w:eastAsia="仿宋"/>
        </w:rPr>
      </w:pPr>
    </w:p>
    <w:p w14:paraId="361208E9">
      <w:pPr>
        <w:spacing w:line="400" w:lineRule="exact"/>
        <w:rPr>
          <w:rFonts w:ascii="仿宋" w:hAnsi="仿宋" w:eastAsia="仿宋"/>
        </w:rPr>
      </w:pPr>
    </w:p>
    <w:p w14:paraId="56081FE0">
      <w:pPr>
        <w:pStyle w:val="4"/>
        <w:spacing w:line="400" w:lineRule="exact"/>
        <w:rPr>
          <w:rFonts w:ascii="仿宋" w:hAnsi="仿宋" w:eastAsia="仿宋"/>
        </w:rPr>
      </w:pPr>
    </w:p>
    <w:p w14:paraId="547731AE">
      <w:pPr>
        <w:pStyle w:val="4"/>
        <w:spacing w:line="400" w:lineRule="exact"/>
        <w:rPr>
          <w:rFonts w:ascii="仿宋" w:hAnsi="仿宋" w:eastAsia="仿宋"/>
        </w:rPr>
      </w:pPr>
    </w:p>
    <w:p w14:paraId="24F6A3BF">
      <w:pPr>
        <w:pStyle w:val="4"/>
        <w:spacing w:line="400" w:lineRule="exact"/>
        <w:rPr>
          <w:rFonts w:ascii="仿宋" w:hAnsi="仿宋" w:eastAsia="仿宋"/>
          <w:b/>
          <w:bCs/>
          <w:sz w:val="44"/>
          <w:szCs w:val="44"/>
        </w:rPr>
      </w:pPr>
    </w:p>
    <w:p w14:paraId="23A19D47">
      <w:pPr>
        <w:pStyle w:val="4"/>
        <w:spacing w:line="400" w:lineRule="exact"/>
        <w:rPr>
          <w:rFonts w:ascii="仿宋" w:hAnsi="仿宋" w:eastAsia="仿宋"/>
          <w:b/>
          <w:bCs/>
          <w:sz w:val="44"/>
          <w:szCs w:val="44"/>
        </w:rPr>
      </w:pPr>
    </w:p>
    <w:p w14:paraId="041E4E9B">
      <w:pPr>
        <w:pStyle w:val="4"/>
        <w:spacing w:line="400" w:lineRule="exact"/>
        <w:rPr>
          <w:rFonts w:ascii="仿宋" w:hAnsi="仿宋" w:eastAsia="仿宋"/>
          <w:b/>
          <w:bCs/>
          <w:sz w:val="36"/>
          <w:szCs w:val="36"/>
        </w:rPr>
      </w:pPr>
      <w:bookmarkStart w:id="38" w:name="_Toc24638"/>
      <w:r>
        <w:rPr>
          <w:rFonts w:hint="eastAsia" w:ascii="仿宋" w:hAnsi="仿宋" w:eastAsia="仿宋"/>
          <w:b/>
          <w:bCs/>
          <w:sz w:val="36"/>
          <w:szCs w:val="36"/>
        </w:rPr>
        <w:t>投标文件格式</w:t>
      </w:r>
      <w:bookmarkEnd w:id="38"/>
    </w:p>
    <w:bookmarkEnd w:id="37"/>
    <w:p w14:paraId="49806E5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52CE67C5">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评标指引表</w:t>
      </w:r>
    </w:p>
    <w:p w14:paraId="3543AA05">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0268B3B7">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66E27459">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1AA50D83">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14:paraId="20237E34">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67660F49">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注：此表在递交投标文件时单独交予</w:t>
      </w:r>
      <w:r>
        <w:rPr>
          <w:rFonts w:hint="eastAsia" w:ascii="宋体" w:hAnsi="宋体"/>
          <w:b/>
          <w:bCs/>
          <w:snapToGrid w:val="0"/>
          <w:kern w:val="0"/>
          <w:szCs w:val="21"/>
        </w:rPr>
        <w:t>采购代理机构。</w:t>
      </w:r>
    </w:p>
    <w:p w14:paraId="1383EBA0">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4F2755B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5660947D">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71C87021">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14C7E884">
      <w:pPr>
        <w:numPr>
          <w:ilvl w:val="0"/>
          <w:numId w:val="6"/>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5E23F654">
      <w:pPr>
        <w:numPr>
          <w:ilvl w:val="0"/>
          <w:numId w:val="6"/>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415E6C2E">
      <w:pPr>
        <w:numPr>
          <w:ilvl w:val="0"/>
          <w:numId w:val="6"/>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27439FE8">
      <w:pPr>
        <w:adjustRightInd w:val="0"/>
        <w:spacing w:line="300" w:lineRule="auto"/>
        <w:ind w:left="-2"/>
        <w:rPr>
          <w:rFonts w:ascii="宋体" w:hAnsi="宋体"/>
          <w:snapToGrid w:val="0"/>
          <w:kern w:val="0"/>
          <w:szCs w:val="21"/>
        </w:rPr>
      </w:pPr>
    </w:p>
    <w:p w14:paraId="6635D779">
      <w:pPr>
        <w:adjustRightInd w:val="0"/>
        <w:spacing w:line="300" w:lineRule="auto"/>
        <w:ind w:left="-2"/>
        <w:rPr>
          <w:rFonts w:ascii="宋体" w:hAnsi="宋体"/>
          <w:snapToGrid w:val="0"/>
          <w:kern w:val="0"/>
          <w:szCs w:val="21"/>
        </w:rPr>
      </w:pPr>
    </w:p>
    <w:p w14:paraId="19E5AA03">
      <w:pPr>
        <w:adjustRightInd w:val="0"/>
        <w:spacing w:line="300" w:lineRule="auto"/>
        <w:ind w:left="-2"/>
        <w:rPr>
          <w:rFonts w:ascii="宋体" w:hAnsi="宋体"/>
          <w:snapToGrid w:val="0"/>
          <w:kern w:val="0"/>
          <w:szCs w:val="21"/>
        </w:rPr>
      </w:pPr>
    </w:p>
    <w:p w14:paraId="00C23481">
      <w:pPr>
        <w:ind w:hanging="2"/>
        <w:rPr>
          <w:b/>
          <w:bCs/>
          <w:sz w:val="28"/>
        </w:rPr>
      </w:pPr>
    </w:p>
    <w:p w14:paraId="5EB50C46">
      <w:pPr>
        <w:adjustRightInd w:val="0"/>
        <w:snapToGrid w:val="0"/>
        <w:spacing w:line="300" w:lineRule="auto"/>
        <w:jc w:val="center"/>
      </w:pPr>
      <w:bookmarkStart w:id="39" w:name="_格式1__投标人资格证明文件"/>
      <w:bookmarkEnd w:id="39"/>
    </w:p>
    <w:p w14:paraId="576A23ED">
      <w:pPr>
        <w:adjustRightInd w:val="0"/>
        <w:snapToGrid w:val="0"/>
        <w:spacing w:line="300" w:lineRule="auto"/>
        <w:jc w:val="center"/>
      </w:pPr>
    </w:p>
    <w:p w14:paraId="181174E4">
      <w:pPr>
        <w:adjustRightInd w:val="0"/>
        <w:snapToGrid w:val="0"/>
        <w:spacing w:line="300" w:lineRule="auto"/>
        <w:jc w:val="center"/>
      </w:pPr>
    </w:p>
    <w:p w14:paraId="24EDC2A4">
      <w:pPr>
        <w:adjustRightInd w:val="0"/>
        <w:snapToGrid w:val="0"/>
        <w:spacing w:line="300" w:lineRule="auto"/>
        <w:jc w:val="center"/>
      </w:pPr>
    </w:p>
    <w:p w14:paraId="28EFF5AC">
      <w:pPr>
        <w:adjustRightInd w:val="0"/>
        <w:snapToGrid w:val="0"/>
        <w:spacing w:line="300" w:lineRule="auto"/>
        <w:jc w:val="center"/>
      </w:pPr>
    </w:p>
    <w:p w14:paraId="20F4C56E">
      <w:pPr>
        <w:adjustRightInd w:val="0"/>
        <w:snapToGrid w:val="0"/>
        <w:spacing w:line="300" w:lineRule="auto"/>
        <w:jc w:val="center"/>
      </w:pPr>
    </w:p>
    <w:p w14:paraId="7A691F81">
      <w:pPr>
        <w:adjustRightInd w:val="0"/>
        <w:snapToGrid w:val="0"/>
        <w:spacing w:line="300" w:lineRule="auto"/>
        <w:jc w:val="center"/>
      </w:pPr>
    </w:p>
    <w:p w14:paraId="07253104">
      <w:pPr>
        <w:adjustRightInd w:val="0"/>
        <w:snapToGrid w:val="0"/>
        <w:spacing w:line="300" w:lineRule="auto"/>
        <w:jc w:val="center"/>
      </w:pPr>
    </w:p>
    <w:p w14:paraId="6EBAFFCE">
      <w:pPr>
        <w:adjustRightInd w:val="0"/>
        <w:snapToGrid w:val="0"/>
        <w:spacing w:line="300" w:lineRule="auto"/>
        <w:jc w:val="center"/>
      </w:pPr>
    </w:p>
    <w:p w14:paraId="5122C83B">
      <w:pPr>
        <w:pStyle w:val="4"/>
        <w:spacing w:line="400" w:lineRule="exact"/>
        <w:rPr>
          <w:rFonts w:ascii="仿宋" w:hAnsi="仿宋" w:eastAsia="仿宋"/>
        </w:rPr>
      </w:pPr>
      <w:bookmarkStart w:id="40" w:name="_Toc73610158"/>
    </w:p>
    <w:p w14:paraId="583FA587"/>
    <w:p w14:paraId="78DFF669">
      <w:pPr>
        <w:pStyle w:val="4"/>
        <w:spacing w:line="400" w:lineRule="exact"/>
        <w:rPr>
          <w:rFonts w:ascii="仿宋" w:hAnsi="仿宋" w:eastAsia="仿宋"/>
          <w:b/>
          <w:bCs/>
        </w:rPr>
      </w:pPr>
    </w:p>
    <w:p w14:paraId="484AD89F">
      <w:pPr>
        <w:pStyle w:val="4"/>
        <w:spacing w:line="400" w:lineRule="exact"/>
        <w:rPr>
          <w:rFonts w:ascii="仿宋" w:hAnsi="仿宋" w:eastAsia="仿宋"/>
          <w:b/>
          <w:bCs/>
        </w:rPr>
      </w:pPr>
    </w:p>
    <w:p w14:paraId="4391C7E0">
      <w:pPr>
        <w:pStyle w:val="4"/>
        <w:spacing w:line="400" w:lineRule="exact"/>
        <w:rPr>
          <w:rFonts w:ascii="仿宋" w:hAnsi="仿宋" w:eastAsia="仿宋"/>
          <w:b/>
          <w:bCs/>
        </w:rPr>
      </w:pPr>
    </w:p>
    <w:p w14:paraId="04B2A9B3">
      <w:pPr>
        <w:pStyle w:val="4"/>
        <w:spacing w:line="400" w:lineRule="exact"/>
        <w:rPr>
          <w:rFonts w:ascii="仿宋" w:hAnsi="仿宋" w:eastAsia="仿宋"/>
          <w:b/>
          <w:bCs/>
        </w:rPr>
      </w:pPr>
      <w:bookmarkStart w:id="41" w:name="_Toc5181"/>
      <w:r>
        <w:rPr>
          <w:rFonts w:hint="eastAsia" w:ascii="仿宋" w:hAnsi="仿宋" w:eastAsia="仿宋"/>
          <w:b/>
          <w:bCs/>
        </w:rPr>
        <w:t>评标指引表</w:t>
      </w:r>
      <w:bookmarkEnd w:id="40"/>
      <w:bookmarkEnd w:id="41"/>
    </w:p>
    <w:p w14:paraId="27A48A62">
      <w:pPr>
        <w:jc w:val="center"/>
        <w:rPr>
          <w:b/>
          <w:szCs w:val="21"/>
        </w:rPr>
      </w:pPr>
    </w:p>
    <w:p w14:paraId="66B16115">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7C024286">
      <w:pPr>
        <w:spacing w:line="360" w:lineRule="auto"/>
        <w:ind w:firstLine="420" w:firstLineChars="200"/>
        <w:rPr>
          <w:rFonts w:ascii="宋体" w:hAnsi="宋体"/>
          <w:szCs w:val="21"/>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152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C3D1F29">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一、综合评分指引（评分内容见第三章的评标标准）</w:t>
            </w:r>
          </w:p>
        </w:tc>
      </w:tr>
      <w:tr w14:paraId="1E56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22A589BA">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7AA053DF">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002F80D4">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4E73BEA5">
            <w:pPr>
              <w:spacing w:line="360" w:lineRule="exact"/>
              <w:jc w:val="center"/>
              <w:rPr>
                <w:rFonts w:ascii="宋体" w:hAnsi="宋体"/>
                <w:szCs w:val="21"/>
              </w:rPr>
            </w:pPr>
            <w:r>
              <w:rPr>
                <w:rFonts w:hint="eastAsia" w:ascii="宋体" w:hAnsi="宋体"/>
                <w:szCs w:val="21"/>
              </w:rPr>
              <w:t>备注</w:t>
            </w:r>
          </w:p>
        </w:tc>
      </w:tr>
      <w:tr w14:paraId="7038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04A649C2">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2607209B">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w:t>
            </w:r>
            <w:r>
              <w:rPr>
                <w:rFonts w:hint="eastAsia" w:asciiTheme="minorEastAsia" w:hAnsiTheme="minorEastAsia" w:eastAsiaTheme="minorEastAsia"/>
                <w:snapToGrid w:val="0"/>
                <w:kern w:val="0"/>
                <w:szCs w:val="21"/>
              </w:rPr>
              <w:t>小型企业、微型企业、监狱企业、残疾人福利性单位、本国产品证明文件</w:t>
            </w:r>
            <w:r>
              <w:rPr>
                <w:rFonts w:hint="eastAsia" w:asciiTheme="minorEastAsia" w:hAnsiTheme="minorEastAsia" w:eastAsiaTheme="minorEastAsia"/>
                <w:szCs w:val="21"/>
              </w:rPr>
              <w:t>，详见第四章的政府采购扶持政策</w:t>
            </w:r>
            <w:r>
              <w:rPr>
                <w:rFonts w:hint="eastAsia" w:asciiTheme="minorEastAsia" w:hAnsiTheme="minorEastAsia" w:eastAsiaTheme="minorEastAsia"/>
                <w:bCs/>
                <w:szCs w:val="21"/>
              </w:rPr>
              <w:t>。</w:t>
            </w:r>
          </w:p>
        </w:tc>
        <w:tc>
          <w:tcPr>
            <w:tcW w:w="2169" w:type="dxa"/>
            <w:vAlign w:val="center"/>
          </w:tcPr>
          <w:p w14:paraId="167BBADF">
            <w:pPr>
              <w:spacing w:line="360" w:lineRule="exact"/>
              <w:jc w:val="center"/>
              <w:rPr>
                <w:rFonts w:ascii="宋体" w:hAnsi="宋体"/>
                <w:b/>
                <w:szCs w:val="21"/>
              </w:rPr>
            </w:pPr>
          </w:p>
        </w:tc>
        <w:tc>
          <w:tcPr>
            <w:tcW w:w="1472" w:type="dxa"/>
            <w:vAlign w:val="center"/>
          </w:tcPr>
          <w:p w14:paraId="6024EB5A">
            <w:pPr>
              <w:spacing w:line="360" w:lineRule="exact"/>
              <w:jc w:val="center"/>
              <w:rPr>
                <w:rFonts w:ascii="宋体" w:hAnsi="宋体"/>
                <w:b/>
                <w:szCs w:val="21"/>
              </w:rPr>
            </w:pPr>
          </w:p>
        </w:tc>
      </w:tr>
      <w:tr w14:paraId="49EF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10778483">
            <w:pPr>
              <w:spacing w:line="360" w:lineRule="exact"/>
              <w:jc w:val="center"/>
              <w:rPr>
                <w:rFonts w:ascii="宋体" w:hAnsi="宋体"/>
                <w:szCs w:val="21"/>
              </w:rPr>
            </w:pPr>
            <w:r>
              <w:rPr>
                <w:rFonts w:hint="eastAsia" w:ascii="宋体" w:hAnsi="宋体"/>
                <w:szCs w:val="21"/>
              </w:rPr>
              <w:t>技术部分</w:t>
            </w:r>
          </w:p>
        </w:tc>
        <w:tc>
          <w:tcPr>
            <w:tcW w:w="4854" w:type="dxa"/>
          </w:tcPr>
          <w:p w14:paraId="4796DB36">
            <w:pPr>
              <w:spacing w:line="360" w:lineRule="exact"/>
              <w:jc w:val="center"/>
              <w:rPr>
                <w:rFonts w:ascii="宋体" w:hAnsi="宋体"/>
                <w:szCs w:val="21"/>
              </w:rPr>
            </w:pPr>
            <w:r>
              <w:rPr>
                <w:rFonts w:hint="eastAsia" w:ascii="宋体" w:hAnsi="宋体"/>
                <w:szCs w:val="21"/>
              </w:rPr>
              <w:t>1.……</w:t>
            </w:r>
          </w:p>
        </w:tc>
        <w:tc>
          <w:tcPr>
            <w:tcW w:w="2169" w:type="dxa"/>
            <w:vAlign w:val="center"/>
          </w:tcPr>
          <w:p w14:paraId="7D263AFA">
            <w:pPr>
              <w:spacing w:line="360" w:lineRule="exact"/>
              <w:jc w:val="center"/>
              <w:rPr>
                <w:rFonts w:ascii="宋体" w:hAnsi="宋体"/>
                <w:b/>
                <w:szCs w:val="21"/>
              </w:rPr>
            </w:pPr>
          </w:p>
        </w:tc>
        <w:tc>
          <w:tcPr>
            <w:tcW w:w="1472" w:type="dxa"/>
            <w:vAlign w:val="center"/>
          </w:tcPr>
          <w:p w14:paraId="059FFCB6">
            <w:pPr>
              <w:spacing w:line="360" w:lineRule="exact"/>
              <w:jc w:val="center"/>
              <w:rPr>
                <w:rFonts w:ascii="宋体" w:hAnsi="宋体"/>
                <w:b/>
                <w:szCs w:val="21"/>
              </w:rPr>
            </w:pPr>
          </w:p>
        </w:tc>
      </w:tr>
      <w:tr w14:paraId="1F182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72473D7A">
            <w:pPr>
              <w:spacing w:line="360" w:lineRule="exact"/>
              <w:jc w:val="center"/>
              <w:rPr>
                <w:rFonts w:ascii="宋体" w:hAnsi="宋体"/>
                <w:szCs w:val="21"/>
              </w:rPr>
            </w:pPr>
          </w:p>
        </w:tc>
        <w:tc>
          <w:tcPr>
            <w:tcW w:w="4854" w:type="dxa"/>
          </w:tcPr>
          <w:p w14:paraId="5B75EC96">
            <w:pPr>
              <w:spacing w:line="360" w:lineRule="exact"/>
              <w:jc w:val="center"/>
              <w:rPr>
                <w:rFonts w:ascii="宋体" w:hAnsi="宋体"/>
                <w:szCs w:val="21"/>
              </w:rPr>
            </w:pPr>
            <w:r>
              <w:rPr>
                <w:rFonts w:hint="eastAsia" w:ascii="宋体" w:hAnsi="宋体"/>
                <w:szCs w:val="21"/>
              </w:rPr>
              <w:t>2.……</w:t>
            </w:r>
          </w:p>
        </w:tc>
        <w:tc>
          <w:tcPr>
            <w:tcW w:w="2169" w:type="dxa"/>
            <w:vAlign w:val="center"/>
          </w:tcPr>
          <w:p w14:paraId="69EFD828">
            <w:pPr>
              <w:spacing w:line="360" w:lineRule="exact"/>
              <w:jc w:val="center"/>
              <w:rPr>
                <w:rFonts w:ascii="宋体" w:hAnsi="宋体"/>
                <w:b/>
                <w:szCs w:val="21"/>
              </w:rPr>
            </w:pPr>
          </w:p>
        </w:tc>
        <w:tc>
          <w:tcPr>
            <w:tcW w:w="1472" w:type="dxa"/>
            <w:vAlign w:val="center"/>
          </w:tcPr>
          <w:p w14:paraId="2A8C6B82">
            <w:pPr>
              <w:spacing w:line="360" w:lineRule="exact"/>
              <w:jc w:val="center"/>
              <w:rPr>
                <w:rFonts w:ascii="宋体" w:hAnsi="宋体"/>
                <w:b/>
                <w:szCs w:val="21"/>
              </w:rPr>
            </w:pPr>
          </w:p>
        </w:tc>
      </w:tr>
      <w:tr w14:paraId="1624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D6BF88F">
            <w:pPr>
              <w:spacing w:line="360" w:lineRule="exact"/>
              <w:jc w:val="center"/>
              <w:rPr>
                <w:rFonts w:ascii="宋体" w:hAnsi="宋体"/>
                <w:szCs w:val="21"/>
              </w:rPr>
            </w:pPr>
          </w:p>
        </w:tc>
        <w:tc>
          <w:tcPr>
            <w:tcW w:w="4854" w:type="dxa"/>
          </w:tcPr>
          <w:p w14:paraId="629414F3">
            <w:pPr>
              <w:spacing w:line="360" w:lineRule="exact"/>
              <w:jc w:val="center"/>
              <w:rPr>
                <w:rFonts w:ascii="宋体" w:hAnsi="宋体"/>
                <w:szCs w:val="21"/>
              </w:rPr>
            </w:pPr>
            <w:r>
              <w:rPr>
                <w:rFonts w:hint="eastAsia" w:ascii="宋体" w:hAnsi="宋体"/>
                <w:szCs w:val="21"/>
              </w:rPr>
              <w:t>……</w:t>
            </w:r>
          </w:p>
        </w:tc>
        <w:tc>
          <w:tcPr>
            <w:tcW w:w="2169" w:type="dxa"/>
            <w:vAlign w:val="center"/>
          </w:tcPr>
          <w:p w14:paraId="55A54C67">
            <w:pPr>
              <w:spacing w:line="360" w:lineRule="exact"/>
              <w:jc w:val="center"/>
              <w:rPr>
                <w:rFonts w:ascii="宋体" w:hAnsi="宋体"/>
                <w:b/>
                <w:szCs w:val="21"/>
              </w:rPr>
            </w:pPr>
          </w:p>
        </w:tc>
        <w:tc>
          <w:tcPr>
            <w:tcW w:w="1472" w:type="dxa"/>
            <w:vAlign w:val="center"/>
          </w:tcPr>
          <w:p w14:paraId="52FE8683">
            <w:pPr>
              <w:spacing w:line="360" w:lineRule="exact"/>
              <w:jc w:val="center"/>
              <w:rPr>
                <w:rFonts w:ascii="宋体" w:hAnsi="宋体"/>
                <w:b/>
                <w:szCs w:val="21"/>
              </w:rPr>
            </w:pPr>
          </w:p>
        </w:tc>
      </w:tr>
      <w:tr w14:paraId="7C12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3A85223E">
            <w:pPr>
              <w:spacing w:line="360" w:lineRule="exact"/>
              <w:jc w:val="center"/>
              <w:rPr>
                <w:rFonts w:ascii="宋体" w:hAnsi="宋体"/>
                <w:szCs w:val="21"/>
              </w:rPr>
            </w:pPr>
            <w:r>
              <w:rPr>
                <w:rFonts w:hint="eastAsia" w:ascii="宋体" w:hAnsi="宋体"/>
                <w:szCs w:val="21"/>
              </w:rPr>
              <w:t>商务部分</w:t>
            </w:r>
          </w:p>
        </w:tc>
        <w:tc>
          <w:tcPr>
            <w:tcW w:w="4854" w:type="dxa"/>
          </w:tcPr>
          <w:p w14:paraId="180BA57C">
            <w:pPr>
              <w:spacing w:line="360" w:lineRule="exact"/>
              <w:jc w:val="center"/>
              <w:rPr>
                <w:rFonts w:ascii="宋体" w:hAnsi="宋体"/>
                <w:szCs w:val="21"/>
              </w:rPr>
            </w:pPr>
            <w:r>
              <w:rPr>
                <w:rFonts w:hint="eastAsia" w:ascii="宋体" w:hAnsi="宋体"/>
                <w:szCs w:val="21"/>
              </w:rPr>
              <w:t>1.……</w:t>
            </w:r>
          </w:p>
        </w:tc>
        <w:tc>
          <w:tcPr>
            <w:tcW w:w="2169" w:type="dxa"/>
            <w:vAlign w:val="center"/>
          </w:tcPr>
          <w:p w14:paraId="03060496">
            <w:pPr>
              <w:spacing w:line="360" w:lineRule="exact"/>
              <w:jc w:val="center"/>
              <w:rPr>
                <w:rFonts w:ascii="宋体" w:hAnsi="宋体"/>
                <w:b/>
                <w:szCs w:val="21"/>
              </w:rPr>
            </w:pPr>
          </w:p>
        </w:tc>
        <w:tc>
          <w:tcPr>
            <w:tcW w:w="1472" w:type="dxa"/>
            <w:vAlign w:val="center"/>
          </w:tcPr>
          <w:p w14:paraId="1CE70932">
            <w:pPr>
              <w:spacing w:line="360" w:lineRule="exact"/>
              <w:jc w:val="center"/>
              <w:rPr>
                <w:rFonts w:ascii="宋体" w:hAnsi="宋体"/>
                <w:b/>
                <w:szCs w:val="21"/>
              </w:rPr>
            </w:pPr>
          </w:p>
        </w:tc>
      </w:tr>
      <w:tr w14:paraId="4562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446117A6">
            <w:pPr>
              <w:spacing w:line="360" w:lineRule="exact"/>
              <w:jc w:val="center"/>
              <w:rPr>
                <w:rFonts w:ascii="宋体" w:hAnsi="宋体"/>
                <w:szCs w:val="21"/>
              </w:rPr>
            </w:pPr>
          </w:p>
        </w:tc>
        <w:tc>
          <w:tcPr>
            <w:tcW w:w="4854" w:type="dxa"/>
          </w:tcPr>
          <w:p w14:paraId="49FF1CA1">
            <w:pPr>
              <w:spacing w:line="360" w:lineRule="exact"/>
              <w:jc w:val="center"/>
              <w:rPr>
                <w:rFonts w:ascii="宋体" w:hAnsi="宋体"/>
                <w:szCs w:val="21"/>
              </w:rPr>
            </w:pPr>
            <w:r>
              <w:rPr>
                <w:rFonts w:hint="eastAsia" w:ascii="宋体" w:hAnsi="宋体"/>
                <w:szCs w:val="21"/>
              </w:rPr>
              <w:t>2.……</w:t>
            </w:r>
          </w:p>
        </w:tc>
        <w:tc>
          <w:tcPr>
            <w:tcW w:w="2169" w:type="dxa"/>
            <w:vAlign w:val="center"/>
          </w:tcPr>
          <w:p w14:paraId="55D4EA69">
            <w:pPr>
              <w:spacing w:line="360" w:lineRule="exact"/>
              <w:jc w:val="center"/>
              <w:rPr>
                <w:rFonts w:ascii="宋体" w:hAnsi="宋体"/>
                <w:b/>
                <w:szCs w:val="21"/>
              </w:rPr>
            </w:pPr>
          </w:p>
        </w:tc>
        <w:tc>
          <w:tcPr>
            <w:tcW w:w="1472" w:type="dxa"/>
            <w:vAlign w:val="center"/>
          </w:tcPr>
          <w:p w14:paraId="379880AE">
            <w:pPr>
              <w:spacing w:line="360" w:lineRule="exact"/>
              <w:jc w:val="center"/>
              <w:rPr>
                <w:rFonts w:ascii="宋体" w:hAnsi="宋体"/>
                <w:b/>
                <w:szCs w:val="21"/>
              </w:rPr>
            </w:pPr>
          </w:p>
        </w:tc>
      </w:tr>
      <w:tr w14:paraId="6657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90D8A4D">
            <w:pPr>
              <w:spacing w:line="360" w:lineRule="exact"/>
              <w:jc w:val="center"/>
              <w:rPr>
                <w:rFonts w:ascii="宋体" w:hAnsi="宋体"/>
                <w:szCs w:val="21"/>
              </w:rPr>
            </w:pPr>
          </w:p>
        </w:tc>
        <w:tc>
          <w:tcPr>
            <w:tcW w:w="4854" w:type="dxa"/>
          </w:tcPr>
          <w:p w14:paraId="091C7E2C">
            <w:pPr>
              <w:spacing w:line="360" w:lineRule="exact"/>
              <w:jc w:val="center"/>
              <w:rPr>
                <w:rFonts w:ascii="宋体" w:hAnsi="宋体"/>
                <w:szCs w:val="21"/>
              </w:rPr>
            </w:pPr>
            <w:r>
              <w:rPr>
                <w:rFonts w:hint="eastAsia" w:ascii="宋体" w:hAnsi="宋体"/>
                <w:szCs w:val="21"/>
              </w:rPr>
              <w:t>……</w:t>
            </w:r>
          </w:p>
        </w:tc>
        <w:tc>
          <w:tcPr>
            <w:tcW w:w="2169" w:type="dxa"/>
            <w:vAlign w:val="center"/>
          </w:tcPr>
          <w:p w14:paraId="5A991159">
            <w:pPr>
              <w:spacing w:line="360" w:lineRule="exact"/>
              <w:jc w:val="center"/>
              <w:rPr>
                <w:rFonts w:ascii="宋体" w:hAnsi="宋体"/>
                <w:b/>
                <w:szCs w:val="21"/>
              </w:rPr>
            </w:pPr>
          </w:p>
        </w:tc>
        <w:tc>
          <w:tcPr>
            <w:tcW w:w="1472" w:type="dxa"/>
            <w:vAlign w:val="center"/>
          </w:tcPr>
          <w:p w14:paraId="38ACAB14">
            <w:pPr>
              <w:spacing w:line="360" w:lineRule="exact"/>
              <w:jc w:val="center"/>
              <w:rPr>
                <w:rFonts w:ascii="宋体" w:hAnsi="宋体"/>
                <w:b/>
                <w:szCs w:val="21"/>
              </w:rPr>
            </w:pPr>
          </w:p>
        </w:tc>
      </w:tr>
    </w:tbl>
    <w:p w14:paraId="12E101A7">
      <w:pPr>
        <w:pStyle w:val="27"/>
        <w:spacing w:line="360" w:lineRule="auto"/>
        <w:ind w:firstLine="424" w:firstLineChars="201"/>
        <w:rPr>
          <w:rFonts w:hAnsi="宋体"/>
          <w:b/>
          <w:szCs w:val="21"/>
        </w:rPr>
      </w:pPr>
    </w:p>
    <w:p w14:paraId="7FA0254D">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101055F"/>
    <w:p w14:paraId="78474996"/>
    <w:p w14:paraId="4E440584"/>
    <w:p w14:paraId="06D1438F"/>
    <w:p w14:paraId="57B4EF8F"/>
    <w:p w14:paraId="745F8AB1"/>
    <w:p w14:paraId="2E6DF7C0">
      <w:pPr>
        <w:pStyle w:val="21"/>
      </w:pPr>
    </w:p>
    <w:p w14:paraId="624B25DC"/>
    <w:p w14:paraId="7A684805"/>
    <w:p w14:paraId="350DC17E"/>
    <w:p w14:paraId="63C3C431">
      <w:pPr>
        <w:pStyle w:val="3"/>
        <w:tabs>
          <w:tab w:val="left" w:pos="371"/>
        </w:tabs>
        <w:spacing w:before="120" w:after="120"/>
        <w:ind w:left="-1" w:leftChars="-1" w:hanging="1"/>
        <w:jc w:val="center"/>
        <w:rPr>
          <w:rFonts w:asciiTheme="minorEastAsia" w:hAnsiTheme="minorEastAsia" w:eastAsiaTheme="minorEastAsia"/>
        </w:rPr>
      </w:pPr>
      <w:bookmarkStart w:id="42" w:name="_Toc135293343"/>
      <w:bookmarkStart w:id="43" w:name="_Toc44691164"/>
      <w:bookmarkStart w:id="44" w:name="_Toc44690705"/>
      <w:bookmarkStart w:id="45" w:name="_Toc44690432"/>
      <w:bookmarkStart w:id="46" w:name="_Toc44691396"/>
    </w:p>
    <w:p w14:paraId="02E89182">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47" w:name="_Toc21644"/>
      <w:r>
        <w:rPr>
          <w:rFonts w:hint="eastAsia" w:asciiTheme="minorEastAsia" w:hAnsiTheme="minorEastAsia" w:eastAsiaTheme="minorEastAsia"/>
        </w:rPr>
        <w:t>格式1  投标人资格证明文件</w:t>
      </w:r>
      <w:bookmarkEnd w:id="42"/>
      <w:bookmarkEnd w:id="43"/>
      <w:bookmarkEnd w:id="44"/>
      <w:bookmarkEnd w:id="45"/>
      <w:bookmarkEnd w:id="46"/>
      <w:bookmarkEnd w:id="47"/>
    </w:p>
    <w:p w14:paraId="6C01A0F2">
      <w:pPr>
        <w:adjustRightInd w:val="0"/>
        <w:snapToGrid w:val="0"/>
        <w:spacing w:line="360" w:lineRule="auto"/>
        <w:rPr>
          <w:rFonts w:ascii="宋体" w:hAnsi="宋体"/>
          <w:bCs/>
          <w:snapToGrid w:val="0"/>
          <w:kern w:val="0"/>
          <w:szCs w:val="21"/>
        </w:rPr>
      </w:pPr>
    </w:p>
    <w:p w14:paraId="0FA84DCE">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1.符合《中华人民共和国政府采购法》第二十二条规定（提供书面声明函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w:t>
      </w:r>
    </w:p>
    <w:p w14:paraId="64C8B402">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2.</w:t>
      </w:r>
      <w:r>
        <w:rPr>
          <w:rFonts w:hint="eastAsia" w:ascii="宋体" w:hAnsi="宋体"/>
          <w:snapToGrid w:val="0"/>
        </w:rPr>
        <w:t>具有独立承担民事责任能力的法人或其他组织或自然人（提供营业执照或法人证书等证明材料复印件或扫描件加盖投标人公章）。如果是分支机构参与投标，还须同时提供其具有独立法人资格的上级主体出具的有效授权书及上级主体的营业执照或法人证书等证明材料复印件或扫描件加盖投标人公章；本项目不接受总公司与分支机构同时参与投标，也不接受同一总公司有两个或以上分支机构参与投标，如出现以上情形，该两家或以上投标人均按无效投标处理</w:t>
      </w:r>
      <w:r>
        <w:rPr>
          <w:rFonts w:hint="eastAsia" w:ascii="宋体" w:hAnsi="宋体" w:cs="宋体"/>
        </w:rPr>
        <w:t>。</w:t>
      </w:r>
    </w:p>
    <w:p w14:paraId="550FC880">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3.</w:t>
      </w:r>
      <w:r>
        <w:rPr>
          <w:rFonts w:hint="eastAsia" w:ascii="宋体" w:hAnsi="宋体" w:cs="宋体"/>
        </w:rPr>
        <w:t>参与本项目采购活动前三年内，在经营活动中没有重大违法记录（由投标人提供声明函</w:t>
      </w:r>
      <w:r>
        <w:rPr>
          <w:rFonts w:hint="eastAsia" w:ascii="宋体" w:hAnsi="宋体" w:cs="宋体"/>
          <w:snapToGrid w:val="0"/>
          <w:kern w:val="0"/>
          <w:szCs w:val="21"/>
        </w:rPr>
        <w:t>加盖投标人公章</w:t>
      </w:r>
      <w:r>
        <w:rPr>
          <w:rFonts w:hint="eastAsia" w:ascii="宋体" w:hAnsi="宋体" w:cs="宋体"/>
        </w:rPr>
        <w:t>，格式自拟）</w:t>
      </w:r>
      <w:r>
        <w:rPr>
          <w:rFonts w:hint="eastAsia" w:ascii="宋体" w:hAnsi="宋体" w:cs="宋体"/>
          <w:bCs/>
          <w:snapToGrid w:val="0"/>
          <w:kern w:val="0"/>
          <w:szCs w:val="21"/>
        </w:rPr>
        <w:t>；</w:t>
      </w:r>
    </w:p>
    <w:p w14:paraId="7F9C5933">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4.</w:t>
      </w:r>
      <w:r>
        <w:rPr>
          <w:rFonts w:hint="eastAsia" w:ascii="宋体" w:hAnsi="宋体" w:cs="宋体"/>
        </w:rPr>
        <w:t>参与本项目政府采购活动时不存在被有关部门禁止参与政府采购活动且在有效期内的情况（由投标人提供声明函</w:t>
      </w:r>
      <w:r>
        <w:rPr>
          <w:rFonts w:hint="eastAsia" w:ascii="宋体" w:hAnsi="宋体" w:cs="宋体"/>
          <w:snapToGrid w:val="0"/>
          <w:kern w:val="0"/>
          <w:szCs w:val="21"/>
        </w:rPr>
        <w:t>加盖投标人公章</w:t>
      </w:r>
      <w:r>
        <w:rPr>
          <w:rFonts w:hint="eastAsia" w:ascii="宋体" w:hAnsi="宋体" w:cs="宋体"/>
        </w:rPr>
        <w:t>，格式自拟）</w:t>
      </w:r>
      <w:r>
        <w:rPr>
          <w:rFonts w:hint="eastAsia" w:ascii="宋体" w:hAnsi="宋体" w:cs="宋体"/>
          <w:bCs/>
          <w:snapToGrid w:val="0"/>
          <w:kern w:val="0"/>
          <w:szCs w:val="21"/>
        </w:rPr>
        <w:t>；</w:t>
      </w:r>
    </w:p>
    <w:p w14:paraId="4A8DDD45">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5.除单一来源采购项目外，为采购项目提供整体设计、规范编制或者项目管理、监理、检测等服务的供应商，不得再参加该采购项目的其他采购活动（由投标人提供声明函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w:t>
      </w:r>
    </w:p>
    <w:p w14:paraId="41F275F9">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6.参与本项目政府采购活动不存在与其他采购参加人串通投标，隐瞒真实情况，提供虚假资料等违法违规情形（由投标人提供声明函</w:t>
      </w:r>
      <w:r>
        <w:rPr>
          <w:rFonts w:hint="eastAsia" w:ascii="宋体" w:hAnsi="宋体" w:cs="宋体"/>
          <w:snapToGrid w:val="0"/>
          <w:kern w:val="0"/>
          <w:szCs w:val="21"/>
        </w:rPr>
        <w:t>加盖投标人公章</w:t>
      </w:r>
      <w:r>
        <w:rPr>
          <w:rFonts w:hint="eastAsia" w:ascii="宋体" w:hAnsi="宋体" w:cs="宋体"/>
          <w:bCs/>
          <w:snapToGrid w:val="0"/>
          <w:kern w:val="0"/>
          <w:szCs w:val="21"/>
        </w:rPr>
        <w:t>，格式自拟）；</w:t>
      </w:r>
    </w:p>
    <w:p w14:paraId="2DEBA84D">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7.</w:t>
      </w:r>
      <w:r>
        <w:rPr>
          <w:rFonts w:hint="eastAsia" w:ascii="宋体" w:hAnsi="宋体"/>
          <w:snapToGrid w:val="0"/>
        </w:rPr>
        <w:t>不同投标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投标供应商须填写《供应商基本情况表》，请各供应商认真阅读表格注意事项后谨慎填表，填写不规范导致无法进行审查将视同审查不通过）</w:t>
      </w:r>
      <w:r>
        <w:rPr>
          <w:rFonts w:hint="eastAsia" w:ascii="宋体" w:hAnsi="宋体" w:cs="宋体"/>
          <w:snapToGrid w:val="0"/>
          <w:kern w:val="0"/>
          <w:szCs w:val="21"/>
        </w:rPr>
        <w:t>；</w:t>
      </w:r>
    </w:p>
    <w:p w14:paraId="3AE0137B">
      <w:pPr>
        <w:adjustRightInd w:val="0"/>
        <w:snapToGrid w:val="0"/>
        <w:spacing w:line="360" w:lineRule="auto"/>
        <w:ind w:firstLine="420" w:firstLineChars="200"/>
        <w:rPr>
          <w:rFonts w:ascii="宋体" w:hAnsi="宋体" w:cs="宋体"/>
          <w:bCs/>
          <w:snapToGrid w:val="0"/>
          <w:kern w:val="0"/>
          <w:szCs w:val="21"/>
        </w:rPr>
      </w:pPr>
      <w:r>
        <w:rPr>
          <w:rFonts w:hint="eastAsia" w:ascii="宋体" w:hAnsi="宋体" w:cs="宋体"/>
          <w:bCs/>
          <w:snapToGrid w:val="0"/>
          <w:kern w:val="0"/>
          <w:szCs w:val="21"/>
        </w:rPr>
        <w:t>8.</w:t>
      </w:r>
      <w:r>
        <w:rPr>
          <w:rFonts w:hint="eastAsia" w:ascii="宋体" w:hAnsi="宋体" w:cs="宋体"/>
          <w:snapToGrid w:val="0"/>
          <w:szCs w:val="21"/>
        </w:rPr>
        <w:t>本项目不接受联合体投标，不允许转包或分包</w:t>
      </w:r>
      <w:r>
        <w:rPr>
          <w:rFonts w:hint="eastAsia" w:ascii="宋体" w:hAnsi="宋体" w:cs="宋体"/>
          <w:snapToGrid w:val="0"/>
          <w:kern w:val="0"/>
          <w:szCs w:val="21"/>
        </w:rPr>
        <w:t>（由投标人提供声明函加盖投标人公章，格式自拟）</w:t>
      </w:r>
      <w:r>
        <w:rPr>
          <w:rFonts w:hint="eastAsia" w:ascii="宋体" w:hAnsi="宋体" w:cs="宋体"/>
          <w:bCs/>
          <w:snapToGrid w:val="0"/>
          <w:kern w:val="0"/>
          <w:szCs w:val="21"/>
        </w:rPr>
        <w:t>。</w:t>
      </w:r>
    </w:p>
    <w:p w14:paraId="16CD4927">
      <w:pPr>
        <w:adjustRightInd w:val="0"/>
        <w:snapToGrid w:val="0"/>
        <w:spacing w:line="360" w:lineRule="auto"/>
        <w:ind w:firstLine="420" w:firstLineChars="200"/>
        <w:rPr>
          <w:rFonts w:asciiTheme="minorEastAsia" w:hAnsiTheme="minorEastAsia" w:eastAsiaTheme="minorEastAsia" w:cstheme="minorEastAsia"/>
          <w:snapToGrid w:val="0"/>
          <w:kern w:val="0"/>
          <w:szCs w:val="21"/>
        </w:rPr>
      </w:pPr>
      <w:r>
        <w:rPr>
          <w:rFonts w:hint="eastAsia" w:ascii="宋体" w:hAnsi="宋体" w:cs="宋体"/>
          <w:bCs/>
          <w:snapToGrid w:val="0"/>
          <w:kern w:val="0"/>
          <w:szCs w:val="21"/>
        </w:rPr>
        <w:t>9.其他</w:t>
      </w:r>
      <w:r>
        <w:rPr>
          <w:rFonts w:hint="eastAsia" w:ascii="宋体" w:hAnsi="宋体"/>
        </w:rPr>
        <w:t>（如有，按第一章 投标邀请“二、申请人的资格要求”提供）</w:t>
      </w:r>
    </w:p>
    <w:p w14:paraId="73CB581D">
      <w:pPr>
        <w:adjustRightInd w:val="0"/>
        <w:snapToGrid w:val="0"/>
        <w:spacing w:line="360" w:lineRule="auto"/>
        <w:rPr>
          <w:rFonts w:ascii="楷体_GB2312" w:eastAsiaTheme="minorEastAsia"/>
          <w:b/>
          <w:bCs/>
          <w:snapToGrid w:val="0"/>
          <w:kern w:val="0"/>
        </w:rPr>
      </w:pPr>
    </w:p>
    <w:p w14:paraId="5419126F">
      <w:pPr>
        <w:adjustRightInd w:val="0"/>
        <w:snapToGrid w:val="0"/>
        <w:spacing w:line="360" w:lineRule="auto"/>
        <w:rPr>
          <w:rFonts w:ascii="楷体_GB2312" w:eastAsia="楷体_GB2312"/>
          <w:b/>
          <w:bCs/>
          <w:snapToGrid w:val="0"/>
          <w:kern w:val="0"/>
        </w:rPr>
      </w:pPr>
      <w:r>
        <w:rPr>
          <w:rFonts w:hint="eastAsia" w:ascii="楷体_GB2312" w:eastAsia="楷体_GB2312"/>
          <w:b/>
          <w:bCs/>
          <w:snapToGrid w:val="0"/>
          <w:kern w:val="0"/>
        </w:rPr>
        <w:t>注：投标人提供的以上资料若为复印件或扫描件需加盖公章</w:t>
      </w:r>
    </w:p>
    <w:p w14:paraId="5F4F1D36">
      <w:pPr>
        <w:widowControl/>
        <w:adjustRightInd w:val="0"/>
        <w:snapToGrid w:val="0"/>
        <w:spacing w:line="360" w:lineRule="auto"/>
        <w:ind w:firstLine="424" w:firstLineChars="202"/>
        <w:jc w:val="left"/>
        <w:rPr>
          <w:rFonts w:asciiTheme="minorEastAsia" w:hAnsiTheme="minorEastAsia" w:eastAsiaTheme="minorEastAsia" w:cstheme="minorEastAsia"/>
          <w:snapToGrid w:val="0"/>
          <w:kern w:val="0"/>
          <w:szCs w:val="21"/>
        </w:rPr>
      </w:pPr>
    </w:p>
    <w:p w14:paraId="1AD256CE">
      <w:pPr>
        <w:adjustRightInd w:val="0"/>
        <w:snapToGrid w:val="0"/>
        <w:spacing w:line="300" w:lineRule="auto"/>
        <w:jc w:val="center"/>
        <w:rPr>
          <w:b/>
          <w:snapToGrid w:val="0"/>
          <w:sz w:val="32"/>
          <w:szCs w:val="32"/>
        </w:rPr>
      </w:pPr>
    </w:p>
    <w:p w14:paraId="431C29EC">
      <w:pPr>
        <w:adjustRightInd w:val="0"/>
        <w:snapToGrid w:val="0"/>
        <w:spacing w:line="300" w:lineRule="auto"/>
        <w:jc w:val="center"/>
        <w:rPr>
          <w:b/>
          <w:snapToGrid w:val="0"/>
          <w:sz w:val="32"/>
          <w:szCs w:val="32"/>
        </w:rPr>
      </w:pPr>
    </w:p>
    <w:p w14:paraId="09970CD2">
      <w:pPr>
        <w:rPr>
          <w:b/>
          <w:snapToGrid w:val="0"/>
          <w:sz w:val="32"/>
          <w:szCs w:val="32"/>
        </w:rPr>
      </w:pPr>
      <w:r>
        <w:rPr>
          <w:b/>
          <w:snapToGrid w:val="0"/>
          <w:sz w:val="32"/>
          <w:szCs w:val="32"/>
        </w:rPr>
        <w:br w:type="page"/>
      </w:r>
    </w:p>
    <w:p w14:paraId="22B375B5">
      <w:pPr>
        <w:adjustRightInd w:val="0"/>
        <w:snapToGrid w:val="0"/>
        <w:spacing w:line="300" w:lineRule="auto"/>
        <w:jc w:val="center"/>
        <w:rPr>
          <w:b/>
          <w:snapToGrid w:val="0"/>
          <w:sz w:val="32"/>
          <w:szCs w:val="32"/>
        </w:rPr>
      </w:pPr>
    </w:p>
    <w:p w14:paraId="774F04AE">
      <w:pPr>
        <w:adjustRightInd w:val="0"/>
        <w:spacing w:line="300" w:lineRule="auto"/>
        <w:ind w:hanging="2"/>
        <w:jc w:val="center"/>
        <w:rPr>
          <w:sz w:val="28"/>
          <w:szCs w:val="28"/>
        </w:rPr>
      </w:pPr>
      <w:bookmarkStart w:id="48" w:name="_Toc135293344"/>
      <w:r>
        <w:rPr>
          <w:rFonts w:hint="eastAsia"/>
          <w:b/>
          <w:snapToGrid w:val="0"/>
          <w:kern w:val="0"/>
          <w:sz w:val="28"/>
          <w:szCs w:val="28"/>
        </w:rPr>
        <w:t>声明函</w:t>
      </w:r>
    </w:p>
    <w:p w14:paraId="30CCE2D1">
      <w:pPr>
        <w:spacing w:line="400" w:lineRule="exact"/>
        <w:rPr>
          <w:rFonts w:ascii="宋体" w:hAnsi="宋体" w:cs="Courier New"/>
          <w:snapToGrid w:val="0"/>
          <w:szCs w:val="18"/>
        </w:rPr>
      </w:pPr>
    </w:p>
    <w:p w14:paraId="13F3983F">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26DFD2B">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我单位声明：</w:t>
      </w:r>
    </w:p>
    <w:p w14:paraId="3352FC2A">
      <w:pPr>
        <w:spacing w:line="400" w:lineRule="exact"/>
        <w:ind w:firstLine="420" w:firstLineChars="200"/>
        <w:rPr>
          <w:rFonts w:ascii="宋体" w:hAnsi="宋体"/>
          <w:szCs w:val="21"/>
        </w:rPr>
      </w:pPr>
      <w:r>
        <w:rPr>
          <w:rFonts w:hint="eastAsia" w:ascii="宋体" w:hAnsi="宋体"/>
          <w:szCs w:val="21"/>
        </w:rPr>
        <w:t>1.我单位符合《中华人民共和国政府采购法》第二十二条规定的下列条件：</w:t>
      </w:r>
    </w:p>
    <w:p w14:paraId="0825ACD9">
      <w:pPr>
        <w:spacing w:line="400" w:lineRule="exact"/>
        <w:ind w:firstLine="420" w:firstLineChars="200"/>
        <w:rPr>
          <w:rFonts w:ascii="宋体" w:hAnsi="宋体"/>
          <w:szCs w:val="21"/>
        </w:rPr>
      </w:pPr>
      <w:r>
        <w:rPr>
          <w:rFonts w:hint="eastAsia" w:ascii="宋体" w:hAnsi="宋体"/>
          <w:szCs w:val="21"/>
        </w:rPr>
        <w:t>（1）具有独立承担民事责任的能力；</w:t>
      </w:r>
    </w:p>
    <w:p w14:paraId="78595A04">
      <w:pPr>
        <w:spacing w:line="400" w:lineRule="exact"/>
        <w:ind w:firstLine="420" w:firstLineChars="200"/>
        <w:rPr>
          <w:rFonts w:ascii="宋体" w:hAnsi="宋体"/>
          <w:szCs w:val="21"/>
        </w:rPr>
      </w:pPr>
      <w:r>
        <w:rPr>
          <w:rFonts w:hint="eastAsia" w:ascii="宋体" w:hAnsi="宋体"/>
          <w:szCs w:val="21"/>
        </w:rPr>
        <w:t>（2）具有良好的商业信誉和健全的财务会计制度；</w:t>
      </w:r>
    </w:p>
    <w:p w14:paraId="7564CBD7">
      <w:pPr>
        <w:spacing w:line="400" w:lineRule="exact"/>
        <w:ind w:firstLine="420" w:firstLineChars="200"/>
        <w:rPr>
          <w:rFonts w:ascii="宋体" w:hAnsi="宋体"/>
          <w:szCs w:val="21"/>
        </w:rPr>
      </w:pPr>
      <w:r>
        <w:rPr>
          <w:rFonts w:hint="eastAsia" w:ascii="宋体" w:hAnsi="宋体"/>
          <w:szCs w:val="21"/>
        </w:rPr>
        <w:t>（3）具有履行合同所需的设备和专业技术能力；</w:t>
      </w:r>
    </w:p>
    <w:p w14:paraId="7D5988FC">
      <w:pPr>
        <w:spacing w:line="400" w:lineRule="exact"/>
        <w:ind w:firstLine="420" w:firstLineChars="200"/>
        <w:rPr>
          <w:rFonts w:ascii="宋体" w:hAnsi="宋体"/>
          <w:szCs w:val="21"/>
        </w:rPr>
      </w:pPr>
      <w:r>
        <w:rPr>
          <w:rFonts w:hint="eastAsia" w:ascii="宋体" w:hAnsi="宋体"/>
          <w:szCs w:val="21"/>
        </w:rPr>
        <w:t>（4）有依法缴纳税收和社会保障资金的良好记录；</w:t>
      </w:r>
    </w:p>
    <w:p w14:paraId="5D39E42F">
      <w:pPr>
        <w:spacing w:line="400" w:lineRule="exact"/>
        <w:ind w:firstLine="420" w:firstLineChars="200"/>
        <w:rPr>
          <w:rFonts w:ascii="宋体" w:hAnsi="宋体"/>
          <w:szCs w:val="21"/>
        </w:rPr>
      </w:pPr>
      <w:r>
        <w:rPr>
          <w:rFonts w:hint="eastAsia" w:ascii="宋体" w:hAnsi="宋体"/>
          <w:szCs w:val="21"/>
        </w:rPr>
        <w:t>（5）参加政府采购活动前三年内，在经营活动中没有重大违法记录；</w:t>
      </w:r>
    </w:p>
    <w:p w14:paraId="0F61194C">
      <w:pPr>
        <w:spacing w:line="400" w:lineRule="exact"/>
        <w:ind w:firstLine="420" w:firstLineChars="200"/>
        <w:rPr>
          <w:rFonts w:ascii="宋体" w:hAnsi="宋体"/>
          <w:szCs w:val="21"/>
        </w:rPr>
      </w:pPr>
      <w:r>
        <w:rPr>
          <w:rFonts w:hint="eastAsia" w:ascii="宋体" w:hAnsi="宋体"/>
          <w:szCs w:val="21"/>
        </w:rPr>
        <w:t>（6）法律、行政法规规定的其他条件。</w:t>
      </w:r>
    </w:p>
    <w:p w14:paraId="7D4AE059">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w:t>
      </w:r>
    </w:p>
    <w:p w14:paraId="5CC43947">
      <w:pPr>
        <w:spacing w:line="400" w:lineRule="exact"/>
        <w:ind w:firstLine="420" w:firstLineChars="200"/>
        <w:rPr>
          <w:rFonts w:ascii="宋体" w:hAnsi="宋体"/>
          <w:szCs w:val="21"/>
        </w:rPr>
      </w:pPr>
      <w:r>
        <w:rPr>
          <w:rFonts w:hint="eastAsia" w:ascii="宋体" w:hAnsi="宋体"/>
          <w:szCs w:val="21"/>
        </w:rPr>
        <w:t>3.我单位参与本项目政府采购活动时不存在被有关部门禁止参与政府采购活动且在有效期内的情况。</w:t>
      </w:r>
    </w:p>
    <w:p w14:paraId="25ABF8F1">
      <w:pPr>
        <w:spacing w:line="400" w:lineRule="exact"/>
        <w:ind w:firstLine="420" w:firstLineChars="200"/>
        <w:rPr>
          <w:rFonts w:ascii="宋体" w:hAnsi="宋体"/>
          <w:szCs w:val="21"/>
        </w:rPr>
      </w:pPr>
      <w:r>
        <w:rPr>
          <w:rFonts w:hint="eastAsia" w:ascii="宋体" w:hAnsi="宋体"/>
          <w:szCs w:val="21"/>
        </w:rPr>
        <w:t>4.我单位承诺没有为采购项目提供整体设计、规范编制或者项目管理、监理、检测等服务。</w:t>
      </w:r>
    </w:p>
    <w:p w14:paraId="04A1E93D">
      <w:pPr>
        <w:spacing w:line="400" w:lineRule="exact"/>
        <w:ind w:firstLine="420" w:firstLineChars="200"/>
        <w:rPr>
          <w:rFonts w:ascii="宋体" w:hAnsi="宋体"/>
          <w:szCs w:val="21"/>
        </w:rPr>
      </w:pPr>
      <w:r>
        <w:rPr>
          <w:rFonts w:hint="eastAsia" w:ascii="宋体" w:hAnsi="宋体"/>
          <w:szCs w:val="21"/>
        </w:rPr>
        <w:t>5.我单位参与本项目政府采购活动不存在与其他采购参加人串通投标，隐瞒真实情况，提供虚假资料等违法违规情形。</w:t>
      </w:r>
    </w:p>
    <w:p w14:paraId="1E54D74F">
      <w:pPr>
        <w:spacing w:line="400" w:lineRule="exact"/>
        <w:ind w:firstLine="420" w:firstLineChars="200"/>
        <w:rPr>
          <w:rFonts w:ascii="宋体" w:hAnsi="宋体"/>
          <w:szCs w:val="21"/>
        </w:rPr>
      </w:pPr>
      <w:r>
        <w:rPr>
          <w:rFonts w:hint="eastAsia" w:ascii="宋体" w:hAnsi="宋体"/>
          <w:szCs w:val="21"/>
        </w:rPr>
        <w:t>6. 我单位承诺非联合体投标</w:t>
      </w:r>
      <w:r>
        <w:rPr>
          <w:rFonts w:hint="eastAsia" w:ascii="宋体" w:hAnsi="宋体"/>
          <w:color w:val="000000"/>
          <w:szCs w:val="21"/>
        </w:rPr>
        <w:t>，不转包或分包。</w:t>
      </w:r>
    </w:p>
    <w:p w14:paraId="3F0FC7BA">
      <w:pPr>
        <w:spacing w:line="360" w:lineRule="auto"/>
        <w:ind w:firstLine="600"/>
        <w:rPr>
          <w:rFonts w:cs="Courier New"/>
          <w:snapToGrid w:val="0"/>
          <w:szCs w:val="18"/>
        </w:rPr>
      </w:pPr>
    </w:p>
    <w:p w14:paraId="2E2E877A">
      <w:pPr>
        <w:adjustRightInd w:val="0"/>
        <w:snapToGrid w:val="0"/>
        <w:spacing w:line="300" w:lineRule="auto"/>
        <w:rPr>
          <w:snapToGrid w:val="0"/>
          <w:kern w:val="0"/>
        </w:rPr>
      </w:pPr>
    </w:p>
    <w:p w14:paraId="1089185E">
      <w:pPr>
        <w:adjustRightInd w:val="0"/>
        <w:snapToGrid w:val="0"/>
        <w:spacing w:line="300" w:lineRule="auto"/>
        <w:ind w:firstLine="6930" w:firstLineChars="3300"/>
        <w:rPr>
          <w:snapToGrid w:val="0"/>
          <w:kern w:val="0"/>
        </w:rPr>
      </w:pPr>
      <w:r>
        <w:rPr>
          <w:rFonts w:hint="eastAsia"/>
          <w:snapToGrid w:val="0"/>
          <w:kern w:val="0"/>
        </w:rPr>
        <w:t>投标单位：（盖公章）</w:t>
      </w:r>
    </w:p>
    <w:p w14:paraId="7A6B5E29">
      <w:pPr>
        <w:adjustRightInd w:val="0"/>
        <w:snapToGrid w:val="0"/>
        <w:spacing w:line="300" w:lineRule="auto"/>
        <w:rPr>
          <w:snapToGrid w:val="0"/>
          <w:kern w:val="0"/>
        </w:rPr>
      </w:pPr>
    </w:p>
    <w:p w14:paraId="1268D438">
      <w:pPr>
        <w:adjustRightInd w:val="0"/>
        <w:snapToGrid w:val="0"/>
        <w:spacing w:line="300" w:lineRule="auto"/>
        <w:rPr>
          <w:snapToGrid w:val="0"/>
          <w:kern w:val="0"/>
        </w:rPr>
      </w:pPr>
    </w:p>
    <w:p w14:paraId="3A06D3ED">
      <w:pPr>
        <w:adjustRightInd w:val="0"/>
        <w:snapToGrid w:val="0"/>
        <w:spacing w:line="300" w:lineRule="auto"/>
        <w:ind w:right="420"/>
        <w:rPr>
          <w:snapToGrid w:val="0"/>
          <w:kern w:val="0"/>
        </w:rPr>
      </w:pPr>
    </w:p>
    <w:p w14:paraId="4E3D4648">
      <w:pPr>
        <w:adjustRightInd w:val="0"/>
        <w:snapToGrid w:val="0"/>
        <w:spacing w:line="360" w:lineRule="auto"/>
        <w:ind w:firstLine="600"/>
        <w:jc w:val="right"/>
      </w:pPr>
      <w:r>
        <w:rPr>
          <w:rFonts w:hint="eastAsia"/>
        </w:rPr>
        <w:t>年     月    日</w:t>
      </w:r>
    </w:p>
    <w:p w14:paraId="4FB08BBB">
      <w:pPr>
        <w:rPr>
          <w:rFonts w:ascii="宋体" w:hAnsi="宋体" w:cs="宋体"/>
          <w:b/>
          <w:bCs/>
          <w:sz w:val="28"/>
          <w:szCs w:val="28"/>
        </w:rPr>
      </w:pPr>
      <w:r>
        <w:rPr>
          <w:rFonts w:hint="eastAsia" w:ascii="宋体" w:hAnsi="宋体" w:cs="宋体"/>
          <w:b/>
          <w:bCs/>
          <w:sz w:val="28"/>
          <w:szCs w:val="28"/>
        </w:rPr>
        <w:br w:type="page"/>
      </w:r>
    </w:p>
    <w:p w14:paraId="264DB8A5">
      <w:pPr>
        <w:keepNext/>
        <w:keepLines/>
        <w:adjustRightInd w:val="0"/>
        <w:snapToGrid w:val="0"/>
        <w:jc w:val="center"/>
        <w:rPr>
          <w:rFonts w:ascii="宋体" w:hAnsi="宋体" w:cs="宋体"/>
          <w:b/>
          <w:bCs/>
          <w:sz w:val="28"/>
          <w:szCs w:val="28"/>
        </w:rPr>
      </w:pPr>
    </w:p>
    <w:p w14:paraId="669929BC">
      <w:pPr>
        <w:keepNext/>
        <w:keepLines/>
        <w:adjustRightInd w:val="0"/>
        <w:snapToGrid w:val="0"/>
        <w:jc w:val="center"/>
        <w:rPr>
          <w:rFonts w:ascii="宋体" w:hAnsi="宋体" w:cs="宋体"/>
          <w:b/>
          <w:bCs/>
          <w:sz w:val="28"/>
          <w:szCs w:val="28"/>
        </w:rPr>
      </w:pPr>
      <w:r>
        <w:rPr>
          <w:rFonts w:hint="eastAsia" w:ascii="宋体" w:hAnsi="宋体" w:cs="宋体"/>
          <w:b/>
          <w:bCs/>
          <w:sz w:val="28"/>
          <w:szCs w:val="28"/>
        </w:rPr>
        <w:t>供应商基本情况表</w:t>
      </w:r>
    </w:p>
    <w:p w14:paraId="13B88B84">
      <w:pPr>
        <w:spacing w:beforeLines="100"/>
        <w:rPr>
          <w:rFonts w:ascii="宋体" w:hAnsi="宋体" w:cs="宋体"/>
          <w:b/>
          <w:bCs/>
          <w:sz w:val="28"/>
          <w:szCs w:val="28"/>
        </w:rPr>
      </w:pPr>
      <w:r>
        <w:rPr>
          <w:rFonts w:hint="eastAsia" w:ascii="宋体" w:hAnsi="宋体" w:cs="宋体"/>
          <w:b/>
          <w:bCs/>
          <w:sz w:val="28"/>
          <w:szCs w:val="28"/>
        </w:rPr>
        <w:t>供应商：</w:t>
      </w:r>
      <w:r>
        <w:rPr>
          <w:rFonts w:hint="eastAsia" w:ascii="宋体" w:hAnsi="宋体" w:cs="宋体"/>
          <w:b/>
          <w:bCs/>
          <w:color w:val="FF0000"/>
          <w:sz w:val="28"/>
          <w:szCs w:val="28"/>
        </w:rPr>
        <w:t>（加盖单位公章）</w:t>
      </w:r>
      <w:r>
        <w:rPr>
          <w:rFonts w:hint="eastAsia" w:ascii="宋体" w:hAnsi="宋体" w:cs="宋体"/>
          <w:b/>
          <w:bCs/>
          <w:sz w:val="28"/>
          <w:szCs w:val="28"/>
        </w:rPr>
        <w:tab/>
      </w:r>
      <w:r>
        <w:rPr>
          <w:rFonts w:hint="eastAsia" w:ascii="宋体" w:hAnsi="宋体" w:cs="宋体"/>
          <w:b/>
          <w:bCs/>
          <w:sz w:val="28"/>
          <w:szCs w:val="28"/>
        </w:rPr>
        <w:tab/>
      </w:r>
      <w:r>
        <w:rPr>
          <w:rFonts w:hint="eastAsia" w:ascii="宋体" w:hAnsi="宋体" w:cs="宋体"/>
          <w:b/>
          <w:bCs/>
          <w:sz w:val="28"/>
          <w:szCs w:val="28"/>
        </w:rPr>
        <w:t xml:space="preserve">   填表日期：    年   月   日</w:t>
      </w:r>
    </w:p>
    <w:tbl>
      <w:tblPr>
        <w:tblStyle w:val="51"/>
        <w:tblW w:w="49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510"/>
        <w:gridCol w:w="1026"/>
        <w:gridCol w:w="1083"/>
        <w:gridCol w:w="1021"/>
        <w:gridCol w:w="1555"/>
        <w:gridCol w:w="85"/>
        <w:gridCol w:w="1260"/>
        <w:gridCol w:w="2736"/>
      </w:tblGrid>
      <w:tr w14:paraId="4457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40" w:type="dxa"/>
            <w:gridSpan w:val="2"/>
            <w:vAlign w:val="center"/>
          </w:tcPr>
          <w:p w14:paraId="05119DE2">
            <w:pPr>
              <w:jc w:val="center"/>
              <w:rPr>
                <w:rFonts w:ascii="宋体" w:hAnsi="宋体" w:cs="宋体"/>
                <w:szCs w:val="21"/>
              </w:rPr>
            </w:pPr>
            <w:r>
              <w:rPr>
                <w:rFonts w:hint="eastAsia" w:ascii="宋体" w:hAnsi="宋体" w:cs="宋体"/>
                <w:szCs w:val="21"/>
              </w:rPr>
              <w:t>采购人</w:t>
            </w:r>
          </w:p>
        </w:tc>
        <w:tc>
          <w:tcPr>
            <w:tcW w:w="2137" w:type="dxa"/>
            <w:gridSpan w:val="2"/>
            <w:vAlign w:val="center"/>
          </w:tcPr>
          <w:p w14:paraId="1C796644">
            <w:pPr>
              <w:jc w:val="center"/>
              <w:rPr>
                <w:rFonts w:ascii="宋体" w:hAnsi="宋体" w:cs="宋体"/>
                <w:szCs w:val="21"/>
              </w:rPr>
            </w:pPr>
          </w:p>
        </w:tc>
        <w:tc>
          <w:tcPr>
            <w:tcW w:w="1029" w:type="dxa"/>
            <w:vAlign w:val="center"/>
          </w:tcPr>
          <w:p w14:paraId="2CF4F8C7">
            <w:pPr>
              <w:jc w:val="center"/>
              <w:rPr>
                <w:rFonts w:ascii="宋体" w:hAnsi="宋体" w:cs="宋体"/>
                <w:szCs w:val="21"/>
              </w:rPr>
            </w:pPr>
            <w:r>
              <w:rPr>
                <w:rFonts w:hint="eastAsia" w:ascii="宋体" w:hAnsi="宋体" w:cs="宋体"/>
                <w:szCs w:val="21"/>
              </w:rPr>
              <w:t>项目名称</w:t>
            </w:r>
          </w:p>
        </w:tc>
        <w:tc>
          <w:tcPr>
            <w:tcW w:w="5704" w:type="dxa"/>
            <w:gridSpan w:val="4"/>
            <w:vAlign w:val="center"/>
          </w:tcPr>
          <w:p w14:paraId="61387691">
            <w:pPr>
              <w:jc w:val="center"/>
              <w:rPr>
                <w:rFonts w:ascii="宋体" w:hAnsi="宋体" w:cs="宋体"/>
                <w:szCs w:val="21"/>
              </w:rPr>
            </w:pPr>
          </w:p>
        </w:tc>
      </w:tr>
      <w:tr w14:paraId="4733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40" w:type="dxa"/>
            <w:gridSpan w:val="2"/>
            <w:vAlign w:val="center"/>
          </w:tcPr>
          <w:p w14:paraId="152FB10C">
            <w:pPr>
              <w:snapToGrid w:val="0"/>
              <w:jc w:val="center"/>
              <w:rPr>
                <w:rFonts w:ascii="宋体" w:hAnsi="宋体" w:cs="宋体"/>
                <w:szCs w:val="21"/>
              </w:rPr>
            </w:pPr>
            <w:r>
              <w:rPr>
                <w:rFonts w:hint="eastAsia" w:ascii="宋体" w:hAnsi="宋体" w:cs="宋体"/>
                <w:szCs w:val="21"/>
              </w:rPr>
              <w:t>投标（响应）供应商</w:t>
            </w:r>
          </w:p>
        </w:tc>
        <w:tc>
          <w:tcPr>
            <w:tcW w:w="2137" w:type="dxa"/>
            <w:gridSpan w:val="2"/>
            <w:tcBorders>
              <w:left w:val="single" w:color="auto" w:sz="4" w:space="0"/>
            </w:tcBorders>
            <w:vAlign w:val="center"/>
          </w:tcPr>
          <w:p w14:paraId="7B20A82A">
            <w:pPr>
              <w:jc w:val="center"/>
              <w:rPr>
                <w:rFonts w:ascii="宋体" w:hAnsi="宋体" w:cs="宋体"/>
                <w:szCs w:val="21"/>
              </w:rPr>
            </w:pPr>
          </w:p>
        </w:tc>
        <w:tc>
          <w:tcPr>
            <w:tcW w:w="1029" w:type="dxa"/>
            <w:tcBorders>
              <w:left w:val="single" w:color="auto" w:sz="4" w:space="0"/>
            </w:tcBorders>
            <w:vAlign w:val="center"/>
          </w:tcPr>
          <w:p w14:paraId="7AD42B78">
            <w:pPr>
              <w:snapToGrid w:val="0"/>
              <w:jc w:val="center"/>
              <w:rPr>
                <w:rFonts w:ascii="宋体" w:hAnsi="宋体" w:cs="宋体"/>
                <w:szCs w:val="21"/>
              </w:rPr>
            </w:pPr>
            <w:r>
              <w:rPr>
                <w:rFonts w:hint="eastAsia" w:ascii="宋体" w:hAnsi="宋体" w:cs="宋体"/>
                <w:szCs w:val="21"/>
              </w:rPr>
              <w:t>供应商统一社会信用代码</w:t>
            </w:r>
          </w:p>
        </w:tc>
        <w:tc>
          <w:tcPr>
            <w:tcW w:w="5704" w:type="dxa"/>
            <w:gridSpan w:val="4"/>
            <w:tcBorders>
              <w:left w:val="single" w:color="auto" w:sz="4" w:space="0"/>
            </w:tcBorders>
            <w:vAlign w:val="center"/>
          </w:tcPr>
          <w:p w14:paraId="333CC6CB">
            <w:pPr>
              <w:jc w:val="center"/>
              <w:rPr>
                <w:rFonts w:ascii="宋体" w:hAnsi="宋体" w:cs="宋体"/>
                <w:szCs w:val="21"/>
              </w:rPr>
            </w:pPr>
          </w:p>
        </w:tc>
      </w:tr>
      <w:tr w14:paraId="1CD6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910" w:type="dxa"/>
            <w:gridSpan w:val="9"/>
            <w:vAlign w:val="center"/>
          </w:tcPr>
          <w:p w14:paraId="2842D0BF">
            <w:pPr>
              <w:jc w:val="center"/>
              <w:rPr>
                <w:rFonts w:ascii="宋体" w:hAnsi="宋体" w:cs="宋体"/>
                <w:b/>
                <w:bCs/>
                <w:szCs w:val="21"/>
              </w:rPr>
            </w:pPr>
            <w:r>
              <w:rPr>
                <w:rFonts w:hint="eastAsia" w:ascii="宋体" w:hAnsi="宋体" w:cs="宋体"/>
                <w:b/>
                <w:bCs/>
                <w:szCs w:val="21"/>
              </w:rPr>
              <w:t>投标（响应）供应商相关人员情况</w:t>
            </w:r>
          </w:p>
        </w:tc>
      </w:tr>
      <w:tr w14:paraId="5DFD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bottom w:val="single" w:color="auto" w:sz="4" w:space="0"/>
            </w:tcBorders>
            <w:vAlign w:val="center"/>
          </w:tcPr>
          <w:p w14:paraId="0E29D4FD">
            <w:pPr>
              <w:snapToGrid w:val="0"/>
              <w:jc w:val="center"/>
              <w:rPr>
                <w:rFonts w:ascii="宋体" w:hAnsi="宋体" w:cs="宋体"/>
                <w:b/>
                <w:bCs/>
                <w:szCs w:val="21"/>
              </w:rPr>
            </w:pPr>
            <w:r>
              <w:rPr>
                <w:rFonts w:hint="eastAsia" w:ascii="宋体" w:hAnsi="宋体" w:cs="宋体"/>
                <w:b/>
                <w:bCs/>
                <w:szCs w:val="21"/>
              </w:rPr>
              <w:t>序号</w:t>
            </w:r>
          </w:p>
        </w:tc>
        <w:tc>
          <w:tcPr>
            <w:tcW w:w="1554" w:type="dxa"/>
            <w:gridSpan w:val="2"/>
            <w:tcBorders>
              <w:bottom w:val="single" w:color="auto" w:sz="4" w:space="0"/>
            </w:tcBorders>
            <w:vAlign w:val="center"/>
          </w:tcPr>
          <w:p w14:paraId="42D74649">
            <w:pPr>
              <w:jc w:val="center"/>
              <w:rPr>
                <w:rFonts w:ascii="宋体" w:hAnsi="宋体" w:cs="宋体"/>
                <w:b/>
                <w:bCs/>
                <w:szCs w:val="21"/>
              </w:rPr>
            </w:pPr>
            <w:r>
              <w:rPr>
                <w:rFonts w:hint="eastAsia" w:ascii="宋体" w:hAnsi="宋体" w:cs="宋体"/>
                <w:b/>
                <w:bCs/>
                <w:szCs w:val="21"/>
              </w:rPr>
              <w:t>职务</w:t>
            </w:r>
          </w:p>
        </w:tc>
        <w:tc>
          <w:tcPr>
            <w:tcW w:w="1096" w:type="dxa"/>
            <w:tcBorders>
              <w:bottom w:val="single" w:color="auto" w:sz="4" w:space="0"/>
            </w:tcBorders>
            <w:vAlign w:val="center"/>
          </w:tcPr>
          <w:p w14:paraId="063499DB">
            <w:pPr>
              <w:jc w:val="center"/>
              <w:rPr>
                <w:rFonts w:ascii="宋体" w:hAnsi="宋体" w:cs="宋体"/>
                <w:b/>
                <w:bCs/>
                <w:szCs w:val="21"/>
              </w:rPr>
            </w:pPr>
            <w:r>
              <w:rPr>
                <w:rFonts w:hint="eastAsia" w:ascii="宋体" w:hAnsi="宋体" w:cs="宋体"/>
                <w:b/>
                <w:bCs/>
                <w:szCs w:val="21"/>
              </w:rPr>
              <w:t>姓名</w:t>
            </w:r>
          </w:p>
        </w:tc>
        <w:tc>
          <w:tcPr>
            <w:tcW w:w="1029" w:type="dxa"/>
            <w:tcBorders>
              <w:bottom w:val="single" w:color="auto" w:sz="4" w:space="0"/>
            </w:tcBorders>
            <w:vAlign w:val="center"/>
          </w:tcPr>
          <w:p w14:paraId="2C79B131">
            <w:pPr>
              <w:jc w:val="center"/>
              <w:rPr>
                <w:rFonts w:ascii="宋体" w:hAnsi="宋体" w:cs="宋体"/>
                <w:b/>
                <w:bCs/>
                <w:szCs w:val="21"/>
              </w:rPr>
            </w:pPr>
            <w:r>
              <w:rPr>
                <w:rFonts w:hint="eastAsia" w:ascii="宋体" w:hAnsi="宋体" w:cs="宋体"/>
                <w:b/>
                <w:bCs/>
                <w:szCs w:val="21"/>
              </w:rPr>
              <w:t>身份证号码</w:t>
            </w:r>
          </w:p>
        </w:tc>
        <w:tc>
          <w:tcPr>
            <w:tcW w:w="1578" w:type="dxa"/>
            <w:tcBorders>
              <w:bottom w:val="single" w:color="auto" w:sz="4" w:space="0"/>
            </w:tcBorders>
            <w:vAlign w:val="center"/>
          </w:tcPr>
          <w:p w14:paraId="27DE2E35">
            <w:pPr>
              <w:snapToGrid w:val="0"/>
              <w:jc w:val="center"/>
              <w:rPr>
                <w:rFonts w:ascii="宋体" w:hAnsi="宋体" w:cs="宋体"/>
                <w:b/>
                <w:bCs/>
                <w:szCs w:val="21"/>
              </w:rPr>
            </w:pPr>
            <w:r>
              <w:rPr>
                <w:rFonts w:hint="eastAsia" w:ascii="宋体" w:hAnsi="宋体" w:cs="宋体"/>
                <w:b/>
                <w:bCs/>
                <w:szCs w:val="21"/>
              </w:rPr>
              <w:t>劳动合同</w:t>
            </w:r>
          </w:p>
          <w:p w14:paraId="0EEE5620">
            <w:pPr>
              <w:snapToGrid w:val="0"/>
              <w:jc w:val="center"/>
              <w:rPr>
                <w:rFonts w:ascii="宋体" w:hAnsi="宋体" w:cs="宋体"/>
                <w:b/>
                <w:bCs/>
                <w:szCs w:val="21"/>
              </w:rPr>
            </w:pPr>
            <w:r>
              <w:rPr>
                <w:rFonts w:hint="eastAsia" w:ascii="宋体" w:hAnsi="宋体" w:cs="宋体"/>
                <w:b/>
                <w:bCs/>
                <w:szCs w:val="21"/>
              </w:rPr>
              <w:t>关系单位</w:t>
            </w:r>
          </w:p>
        </w:tc>
        <w:tc>
          <w:tcPr>
            <w:tcW w:w="1357" w:type="dxa"/>
            <w:gridSpan w:val="2"/>
            <w:tcBorders>
              <w:bottom w:val="single" w:color="auto" w:sz="4" w:space="0"/>
            </w:tcBorders>
            <w:vAlign w:val="center"/>
          </w:tcPr>
          <w:p w14:paraId="1B3483CA">
            <w:pPr>
              <w:snapToGrid w:val="0"/>
              <w:jc w:val="center"/>
              <w:rPr>
                <w:rFonts w:ascii="宋体" w:hAnsi="宋体" w:cs="宋体"/>
                <w:b/>
                <w:bCs/>
                <w:szCs w:val="21"/>
              </w:rPr>
            </w:pPr>
            <w:r>
              <w:rPr>
                <w:rFonts w:hint="eastAsia" w:ascii="宋体" w:hAnsi="宋体" w:cs="宋体"/>
                <w:b/>
                <w:bCs/>
                <w:szCs w:val="21"/>
              </w:rPr>
              <w:t>缴纳社会</w:t>
            </w:r>
          </w:p>
          <w:p w14:paraId="3970A65E">
            <w:pPr>
              <w:snapToGrid w:val="0"/>
              <w:jc w:val="center"/>
              <w:rPr>
                <w:rFonts w:ascii="宋体" w:hAnsi="宋体" w:cs="宋体"/>
                <w:b/>
                <w:bCs/>
                <w:szCs w:val="21"/>
              </w:rPr>
            </w:pPr>
            <w:r>
              <w:rPr>
                <w:rFonts w:hint="eastAsia" w:ascii="宋体" w:hAnsi="宋体" w:cs="宋体"/>
                <w:b/>
                <w:bCs/>
                <w:szCs w:val="21"/>
              </w:rPr>
              <w:t>保险单位</w:t>
            </w:r>
          </w:p>
        </w:tc>
        <w:tc>
          <w:tcPr>
            <w:tcW w:w="2769" w:type="dxa"/>
            <w:tcBorders>
              <w:bottom w:val="single" w:color="auto" w:sz="4" w:space="0"/>
            </w:tcBorders>
            <w:vAlign w:val="center"/>
          </w:tcPr>
          <w:p w14:paraId="130579C6">
            <w:pPr>
              <w:snapToGrid w:val="0"/>
              <w:jc w:val="center"/>
              <w:rPr>
                <w:rFonts w:ascii="宋体" w:hAnsi="宋体" w:cs="宋体"/>
                <w:b/>
                <w:bCs/>
                <w:szCs w:val="21"/>
              </w:rPr>
            </w:pPr>
            <w:r>
              <w:rPr>
                <w:rFonts w:hint="eastAsia" w:ascii="宋体" w:hAnsi="宋体" w:cs="宋体"/>
                <w:b/>
                <w:bCs/>
                <w:color w:val="FF0000"/>
                <w:szCs w:val="21"/>
              </w:rPr>
              <w:t>重要说明</w:t>
            </w:r>
          </w:p>
        </w:tc>
      </w:tr>
      <w:tr w14:paraId="1965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top w:val="single" w:color="auto" w:sz="4" w:space="0"/>
              <w:left w:val="single" w:color="auto" w:sz="4" w:space="0"/>
              <w:bottom w:val="single" w:color="auto" w:sz="4" w:space="0"/>
              <w:right w:val="single" w:color="auto" w:sz="4" w:space="0"/>
            </w:tcBorders>
            <w:vAlign w:val="center"/>
          </w:tcPr>
          <w:p w14:paraId="1CAF1D13">
            <w:pPr>
              <w:jc w:val="center"/>
              <w:rPr>
                <w:rFonts w:ascii="宋体" w:hAnsi="宋体" w:cs="宋体"/>
                <w:szCs w:val="21"/>
              </w:rPr>
            </w:pPr>
            <w:r>
              <w:rPr>
                <w:rFonts w:hint="eastAsia" w:ascii="宋体" w:hAnsi="宋体" w:cs="宋体"/>
                <w:szCs w:val="21"/>
              </w:rPr>
              <w:t>1</w:t>
            </w:r>
          </w:p>
        </w:tc>
        <w:tc>
          <w:tcPr>
            <w:tcW w:w="1554" w:type="dxa"/>
            <w:gridSpan w:val="2"/>
            <w:tcBorders>
              <w:top w:val="single" w:color="auto" w:sz="4" w:space="0"/>
              <w:left w:val="single" w:color="auto" w:sz="4" w:space="0"/>
              <w:bottom w:val="single" w:color="auto" w:sz="4" w:space="0"/>
              <w:right w:val="single" w:color="auto" w:sz="4" w:space="0"/>
            </w:tcBorders>
            <w:vAlign w:val="center"/>
          </w:tcPr>
          <w:p w14:paraId="72ADDE00">
            <w:pPr>
              <w:spacing w:line="460" w:lineRule="exact"/>
              <w:jc w:val="center"/>
              <w:rPr>
                <w:rFonts w:ascii="宋体" w:hAnsi="宋体" w:cs="宋体"/>
                <w:szCs w:val="21"/>
              </w:rPr>
            </w:pPr>
            <w:r>
              <w:rPr>
                <w:rFonts w:hint="eastAsia" w:ascii="宋体" w:hAnsi="宋体" w:cs="宋体"/>
                <w:szCs w:val="21"/>
              </w:rPr>
              <w:t>法定代表人/单位负责人/主要经营负责人</w:t>
            </w:r>
          </w:p>
          <w:p w14:paraId="2CF302E0">
            <w:pPr>
              <w:spacing w:line="460" w:lineRule="exact"/>
              <w:jc w:val="center"/>
              <w:rPr>
                <w:rFonts w:ascii="宋体" w:hAnsi="宋体" w:cs="宋体"/>
                <w:szCs w:val="21"/>
              </w:rPr>
            </w:pPr>
            <w:r>
              <w:rPr>
                <w:rFonts w:hint="eastAsia" w:ascii="宋体" w:hAnsi="宋体" w:cs="宋体"/>
                <w:color w:val="0000FF"/>
                <w:szCs w:val="21"/>
              </w:rPr>
              <w:t>（必填）</w:t>
            </w:r>
          </w:p>
        </w:tc>
        <w:tc>
          <w:tcPr>
            <w:tcW w:w="1096" w:type="dxa"/>
            <w:tcBorders>
              <w:top w:val="single" w:color="auto" w:sz="4" w:space="0"/>
              <w:left w:val="single" w:color="auto" w:sz="4" w:space="0"/>
              <w:bottom w:val="single" w:color="auto" w:sz="4" w:space="0"/>
              <w:right w:val="single" w:color="auto" w:sz="4" w:space="0"/>
            </w:tcBorders>
            <w:vAlign w:val="center"/>
          </w:tcPr>
          <w:p w14:paraId="5AA50F4F">
            <w:pPr>
              <w:jc w:val="cente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345D31FD">
            <w:pPr>
              <w:jc w:val="center"/>
              <w:rPr>
                <w:rFonts w:ascii="宋体" w:hAnsi="宋体" w:cs="宋体"/>
                <w:szCs w:val="21"/>
              </w:rPr>
            </w:pPr>
          </w:p>
        </w:tc>
        <w:tc>
          <w:tcPr>
            <w:tcW w:w="1578" w:type="dxa"/>
            <w:tcBorders>
              <w:top w:val="single" w:color="auto" w:sz="4" w:space="0"/>
              <w:left w:val="single" w:color="auto" w:sz="4" w:space="0"/>
              <w:bottom w:val="single" w:color="auto" w:sz="4" w:space="0"/>
              <w:right w:val="single" w:color="auto" w:sz="4" w:space="0"/>
            </w:tcBorders>
            <w:vAlign w:val="center"/>
          </w:tcPr>
          <w:p w14:paraId="1143D0D8">
            <w:pPr>
              <w:jc w:val="center"/>
              <w:rPr>
                <w:rFonts w:ascii="宋体" w:hAnsi="宋体" w:cs="宋体"/>
                <w:szCs w:val="21"/>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14:paraId="73A34A6E">
            <w:pPr>
              <w:jc w:val="center"/>
              <w:rPr>
                <w:rFonts w:ascii="宋体" w:hAnsi="宋体" w:cs="宋体"/>
                <w:color w:val="0000FF"/>
                <w:szCs w:val="21"/>
              </w:rPr>
            </w:pPr>
            <w:r>
              <w:rPr>
                <w:rFonts w:hint="eastAsia" w:ascii="宋体" w:hAnsi="宋体" w:cs="宋体"/>
                <w:i/>
                <w:iCs/>
                <w:color w:val="0000FF"/>
                <w:szCs w:val="21"/>
              </w:rPr>
              <w:t>如属于退休人员或在其他单位交纳社保，请如实填写，下同</w:t>
            </w:r>
          </w:p>
        </w:tc>
        <w:tc>
          <w:tcPr>
            <w:tcW w:w="2769" w:type="dxa"/>
            <w:vMerge w:val="restart"/>
            <w:tcBorders>
              <w:top w:val="single" w:color="auto" w:sz="4" w:space="0"/>
              <w:left w:val="single" w:color="auto" w:sz="4" w:space="0"/>
              <w:right w:val="single" w:color="auto" w:sz="4" w:space="0"/>
            </w:tcBorders>
            <w:vAlign w:val="center"/>
          </w:tcPr>
          <w:p w14:paraId="6E93B7F3">
            <w:pPr>
              <w:jc w:val="center"/>
              <w:rPr>
                <w:rFonts w:ascii="宋体" w:hAnsi="宋体" w:cs="宋体"/>
                <w:i/>
                <w:iCs/>
                <w:color w:val="0000FF"/>
                <w:szCs w:val="21"/>
              </w:rPr>
            </w:pPr>
            <w:r>
              <w:rPr>
                <w:rFonts w:hint="eastAsia" w:ascii="宋体" w:hAnsi="宋体" w:cs="宋体"/>
                <w:i/>
                <w:iCs/>
                <w:color w:val="0000FF"/>
                <w:szCs w:val="21"/>
              </w:rPr>
              <w:t>供应商如有提供对应职务人员，</w:t>
            </w:r>
            <w:r>
              <w:rPr>
                <w:rFonts w:hint="eastAsia" w:ascii="宋体" w:hAnsi="宋体" w:cs="宋体"/>
                <w:b/>
                <w:bCs/>
                <w:i/>
                <w:iCs/>
                <w:color w:val="0000FF"/>
                <w:szCs w:val="21"/>
                <w:highlight w:val="yellow"/>
              </w:rPr>
              <w:t>必须完整填写</w:t>
            </w:r>
            <w:r>
              <w:rPr>
                <w:rFonts w:hint="eastAsia" w:ascii="宋体" w:hAnsi="宋体" w:cs="宋体"/>
                <w:i/>
                <w:iCs/>
                <w:color w:val="0000FF"/>
                <w:szCs w:val="21"/>
              </w:rPr>
              <w:t>对应“姓名”“身份证号码”“劳动合同关系单位”</w:t>
            </w:r>
          </w:p>
          <w:p w14:paraId="0BB3FB48">
            <w:pPr>
              <w:jc w:val="center"/>
              <w:rPr>
                <w:rFonts w:ascii="宋体" w:hAnsi="宋体" w:cs="宋体"/>
                <w:i/>
                <w:iCs/>
                <w:color w:val="0000FF"/>
                <w:szCs w:val="21"/>
              </w:rPr>
            </w:pPr>
            <w:r>
              <w:rPr>
                <w:rFonts w:hint="eastAsia" w:ascii="宋体" w:hAnsi="宋体" w:cs="宋体"/>
                <w:i/>
                <w:iCs/>
                <w:color w:val="0000FF"/>
                <w:szCs w:val="21"/>
              </w:rPr>
              <w:t>“缴纳社会保险单位”</w:t>
            </w:r>
          </w:p>
          <w:p w14:paraId="3AB268E9">
            <w:pPr>
              <w:jc w:val="center"/>
              <w:rPr>
                <w:rFonts w:ascii="宋体" w:hAnsi="宋体" w:cs="宋体"/>
                <w:i/>
                <w:iCs/>
                <w:color w:val="0000FF"/>
                <w:szCs w:val="21"/>
              </w:rPr>
            </w:pPr>
          </w:p>
          <w:p w14:paraId="1FEE6890">
            <w:pPr>
              <w:jc w:val="center"/>
              <w:rPr>
                <w:rFonts w:ascii="宋体" w:hAnsi="宋体" w:cs="宋体"/>
                <w:i/>
                <w:iCs/>
                <w:color w:val="0000FF"/>
                <w:szCs w:val="21"/>
              </w:rPr>
            </w:pPr>
          </w:p>
          <w:p w14:paraId="257A5722">
            <w:pPr>
              <w:jc w:val="center"/>
              <w:rPr>
                <w:rFonts w:ascii="宋体" w:hAnsi="宋体" w:cs="宋体"/>
                <w:i/>
                <w:iCs/>
                <w:color w:val="0000FF"/>
                <w:szCs w:val="21"/>
              </w:rPr>
            </w:pPr>
            <w:r>
              <w:rPr>
                <w:rFonts w:hint="eastAsia" w:ascii="宋体" w:hAnsi="宋体" w:cs="宋体"/>
                <w:i/>
                <w:iCs/>
                <w:color w:val="0000FF"/>
                <w:szCs w:val="21"/>
              </w:rPr>
              <w:t>如未提供对应人员，请在“姓名”栏填“无”</w:t>
            </w:r>
          </w:p>
        </w:tc>
      </w:tr>
      <w:tr w14:paraId="29B7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top w:val="single" w:color="auto" w:sz="4" w:space="0"/>
              <w:left w:val="single" w:color="auto" w:sz="4" w:space="0"/>
              <w:bottom w:val="single" w:color="auto" w:sz="4" w:space="0"/>
              <w:right w:val="single" w:color="auto" w:sz="4" w:space="0"/>
            </w:tcBorders>
            <w:vAlign w:val="center"/>
          </w:tcPr>
          <w:p w14:paraId="39E74FD5">
            <w:pPr>
              <w:jc w:val="center"/>
              <w:rPr>
                <w:rFonts w:ascii="宋体" w:hAnsi="宋体" w:cs="宋体"/>
                <w:szCs w:val="21"/>
              </w:rPr>
            </w:pPr>
            <w:r>
              <w:rPr>
                <w:rFonts w:hint="eastAsia" w:ascii="宋体" w:hAnsi="宋体" w:cs="宋体"/>
                <w:szCs w:val="21"/>
              </w:rPr>
              <w:t>2</w:t>
            </w:r>
          </w:p>
        </w:tc>
        <w:tc>
          <w:tcPr>
            <w:tcW w:w="1554" w:type="dxa"/>
            <w:gridSpan w:val="2"/>
            <w:tcBorders>
              <w:top w:val="single" w:color="auto" w:sz="4" w:space="0"/>
              <w:left w:val="single" w:color="auto" w:sz="4" w:space="0"/>
              <w:bottom w:val="single" w:color="auto" w:sz="4" w:space="0"/>
              <w:right w:val="single" w:color="auto" w:sz="4" w:space="0"/>
            </w:tcBorders>
            <w:vAlign w:val="center"/>
          </w:tcPr>
          <w:p w14:paraId="4DB4AA16">
            <w:pPr>
              <w:jc w:val="center"/>
              <w:rPr>
                <w:rFonts w:ascii="宋体" w:hAnsi="宋体" w:cs="宋体"/>
                <w:szCs w:val="21"/>
              </w:rPr>
            </w:pPr>
            <w:r>
              <w:rPr>
                <w:rFonts w:hint="eastAsia" w:ascii="宋体" w:hAnsi="宋体" w:cs="宋体"/>
                <w:szCs w:val="21"/>
              </w:rPr>
              <w:t>项目投标授权代表人</w:t>
            </w:r>
          </w:p>
          <w:p w14:paraId="2EE8AD90">
            <w:pPr>
              <w:jc w:val="center"/>
              <w:rPr>
                <w:rFonts w:ascii="宋体" w:hAnsi="宋体" w:cs="宋体"/>
                <w:szCs w:val="21"/>
              </w:rPr>
            </w:pPr>
            <w:r>
              <w:rPr>
                <w:rFonts w:hint="eastAsia" w:ascii="宋体" w:hAnsi="宋体" w:cs="宋体"/>
                <w:color w:val="0000FF"/>
                <w:szCs w:val="21"/>
              </w:rPr>
              <w:t>（如有，必填）</w:t>
            </w:r>
          </w:p>
        </w:tc>
        <w:tc>
          <w:tcPr>
            <w:tcW w:w="1096" w:type="dxa"/>
            <w:tcBorders>
              <w:top w:val="single" w:color="auto" w:sz="4" w:space="0"/>
              <w:left w:val="single" w:color="auto" w:sz="4" w:space="0"/>
              <w:bottom w:val="single" w:color="auto" w:sz="4" w:space="0"/>
              <w:right w:val="single" w:color="auto" w:sz="4" w:space="0"/>
            </w:tcBorders>
            <w:vAlign w:val="center"/>
          </w:tcPr>
          <w:p w14:paraId="5E94F3BB">
            <w:pPr>
              <w:jc w:val="cente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188D18BE">
            <w:pPr>
              <w:jc w:val="center"/>
              <w:rPr>
                <w:rFonts w:ascii="宋体" w:hAnsi="宋体" w:cs="宋体"/>
                <w:szCs w:val="21"/>
              </w:rPr>
            </w:pPr>
          </w:p>
        </w:tc>
        <w:tc>
          <w:tcPr>
            <w:tcW w:w="1578" w:type="dxa"/>
            <w:tcBorders>
              <w:top w:val="single" w:color="auto" w:sz="4" w:space="0"/>
              <w:left w:val="single" w:color="auto" w:sz="4" w:space="0"/>
              <w:bottom w:val="single" w:color="auto" w:sz="4" w:space="0"/>
              <w:right w:val="single" w:color="auto" w:sz="4" w:space="0"/>
            </w:tcBorders>
            <w:vAlign w:val="center"/>
          </w:tcPr>
          <w:p w14:paraId="7F34DFBB">
            <w:pPr>
              <w:jc w:val="center"/>
              <w:rPr>
                <w:rFonts w:ascii="宋体" w:hAnsi="宋体" w:cs="宋体"/>
                <w:szCs w:val="21"/>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14:paraId="21C0EA38">
            <w:pPr>
              <w:jc w:val="center"/>
              <w:rPr>
                <w:rFonts w:ascii="宋体" w:hAnsi="宋体" w:cs="宋体"/>
                <w:color w:val="0000FF"/>
                <w:szCs w:val="21"/>
              </w:rPr>
            </w:pPr>
          </w:p>
        </w:tc>
        <w:tc>
          <w:tcPr>
            <w:tcW w:w="2769" w:type="dxa"/>
            <w:vMerge w:val="continue"/>
            <w:tcBorders>
              <w:left w:val="single" w:color="auto" w:sz="4" w:space="0"/>
              <w:right w:val="single" w:color="auto" w:sz="4" w:space="0"/>
            </w:tcBorders>
            <w:vAlign w:val="center"/>
          </w:tcPr>
          <w:p w14:paraId="09BDFFD9">
            <w:pPr>
              <w:rPr>
                <w:rFonts w:ascii="宋体" w:hAnsi="宋体" w:cs="宋体"/>
                <w:szCs w:val="21"/>
              </w:rPr>
            </w:pPr>
          </w:p>
        </w:tc>
      </w:tr>
      <w:tr w14:paraId="7841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top w:val="single" w:color="auto" w:sz="4" w:space="0"/>
            </w:tcBorders>
            <w:vAlign w:val="center"/>
          </w:tcPr>
          <w:p w14:paraId="6DF885B1">
            <w:pPr>
              <w:jc w:val="center"/>
              <w:rPr>
                <w:rFonts w:ascii="宋体" w:hAnsi="宋体" w:cs="宋体"/>
                <w:szCs w:val="21"/>
              </w:rPr>
            </w:pPr>
            <w:r>
              <w:rPr>
                <w:rFonts w:hint="eastAsia" w:ascii="宋体" w:hAnsi="宋体" w:cs="宋体"/>
                <w:szCs w:val="21"/>
              </w:rPr>
              <w:t>3</w:t>
            </w:r>
          </w:p>
        </w:tc>
        <w:tc>
          <w:tcPr>
            <w:tcW w:w="1554" w:type="dxa"/>
            <w:gridSpan w:val="2"/>
            <w:tcBorders>
              <w:top w:val="single" w:color="auto" w:sz="4" w:space="0"/>
            </w:tcBorders>
            <w:vAlign w:val="center"/>
          </w:tcPr>
          <w:p w14:paraId="79BEE240">
            <w:pPr>
              <w:jc w:val="center"/>
              <w:rPr>
                <w:rFonts w:ascii="宋体" w:hAnsi="宋体" w:cs="宋体"/>
                <w:szCs w:val="21"/>
              </w:rPr>
            </w:pPr>
            <w:r>
              <w:rPr>
                <w:rFonts w:hint="eastAsia" w:ascii="宋体" w:hAnsi="宋体" w:cs="宋体"/>
                <w:szCs w:val="21"/>
              </w:rPr>
              <w:t>项目负责人</w:t>
            </w:r>
          </w:p>
          <w:p w14:paraId="23062B79">
            <w:pPr>
              <w:jc w:val="center"/>
              <w:rPr>
                <w:rFonts w:ascii="宋体" w:hAnsi="宋体" w:cs="宋体"/>
                <w:szCs w:val="21"/>
              </w:rPr>
            </w:pPr>
            <w:r>
              <w:rPr>
                <w:rFonts w:hint="eastAsia" w:ascii="宋体" w:hAnsi="宋体" w:cs="宋体"/>
                <w:color w:val="0000FF"/>
                <w:szCs w:val="21"/>
              </w:rPr>
              <w:t>（如有，必填）</w:t>
            </w:r>
          </w:p>
        </w:tc>
        <w:tc>
          <w:tcPr>
            <w:tcW w:w="1096" w:type="dxa"/>
            <w:tcBorders>
              <w:top w:val="single" w:color="auto" w:sz="4" w:space="0"/>
            </w:tcBorders>
            <w:vAlign w:val="center"/>
          </w:tcPr>
          <w:p w14:paraId="1B0FFFD7">
            <w:pPr>
              <w:jc w:val="center"/>
              <w:rPr>
                <w:rFonts w:ascii="宋体" w:hAnsi="宋体" w:cs="宋体"/>
                <w:szCs w:val="21"/>
              </w:rPr>
            </w:pPr>
          </w:p>
        </w:tc>
        <w:tc>
          <w:tcPr>
            <w:tcW w:w="1029" w:type="dxa"/>
            <w:tcBorders>
              <w:top w:val="single" w:color="auto" w:sz="4" w:space="0"/>
            </w:tcBorders>
            <w:vAlign w:val="center"/>
          </w:tcPr>
          <w:p w14:paraId="3C6D2081">
            <w:pPr>
              <w:jc w:val="center"/>
              <w:rPr>
                <w:rFonts w:ascii="宋体" w:hAnsi="宋体" w:cs="宋体"/>
                <w:szCs w:val="21"/>
              </w:rPr>
            </w:pPr>
          </w:p>
        </w:tc>
        <w:tc>
          <w:tcPr>
            <w:tcW w:w="1578" w:type="dxa"/>
            <w:tcBorders>
              <w:top w:val="single" w:color="auto" w:sz="4" w:space="0"/>
            </w:tcBorders>
            <w:vAlign w:val="center"/>
          </w:tcPr>
          <w:p w14:paraId="311D980C">
            <w:pPr>
              <w:jc w:val="center"/>
              <w:rPr>
                <w:rFonts w:ascii="宋体" w:hAnsi="宋体" w:cs="宋体"/>
                <w:szCs w:val="21"/>
              </w:rPr>
            </w:pPr>
          </w:p>
        </w:tc>
        <w:tc>
          <w:tcPr>
            <w:tcW w:w="1357" w:type="dxa"/>
            <w:gridSpan w:val="2"/>
            <w:tcBorders>
              <w:top w:val="single" w:color="auto" w:sz="4" w:space="0"/>
            </w:tcBorders>
            <w:vAlign w:val="center"/>
          </w:tcPr>
          <w:p w14:paraId="2B18EC9A">
            <w:pPr>
              <w:jc w:val="center"/>
              <w:rPr>
                <w:rFonts w:ascii="宋体" w:hAnsi="宋体" w:cs="宋体"/>
                <w:color w:val="0000FF"/>
                <w:szCs w:val="21"/>
              </w:rPr>
            </w:pPr>
            <w:r>
              <w:rPr>
                <w:rFonts w:hint="eastAsia" w:ascii="宋体" w:hAnsi="宋体" w:cs="宋体"/>
                <w:i/>
                <w:iCs/>
                <w:color w:val="0000FF"/>
                <w:szCs w:val="21"/>
              </w:rPr>
              <w:t>缴纳社保单位必须为供应商</w:t>
            </w:r>
          </w:p>
        </w:tc>
        <w:tc>
          <w:tcPr>
            <w:tcW w:w="2769" w:type="dxa"/>
            <w:vMerge w:val="continue"/>
            <w:tcBorders>
              <w:left w:val="single" w:color="auto" w:sz="4" w:space="0"/>
              <w:right w:val="single" w:color="auto" w:sz="4" w:space="0"/>
            </w:tcBorders>
            <w:vAlign w:val="center"/>
          </w:tcPr>
          <w:p w14:paraId="7B9BD3D1">
            <w:pPr>
              <w:rPr>
                <w:rFonts w:ascii="宋体" w:hAnsi="宋体" w:cs="宋体"/>
                <w:szCs w:val="21"/>
              </w:rPr>
            </w:pPr>
          </w:p>
        </w:tc>
      </w:tr>
      <w:tr w14:paraId="5D66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vAlign w:val="center"/>
          </w:tcPr>
          <w:p w14:paraId="5C3A0137">
            <w:pPr>
              <w:jc w:val="center"/>
              <w:rPr>
                <w:rFonts w:ascii="宋体" w:hAnsi="宋体" w:cs="宋体"/>
                <w:szCs w:val="21"/>
              </w:rPr>
            </w:pPr>
            <w:r>
              <w:rPr>
                <w:rFonts w:hint="eastAsia" w:ascii="宋体" w:hAnsi="宋体" w:cs="宋体"/>
                <w:szCs w:val="21"/>
              </w:rPr>
              <w:t>4</w:t>
            </w:r>
          </w:p>
        </w:tc>
        <w:tc>
          <w:tcPr>
            <w:tcW w:w="1554" w:type="dxa"/>
            <w:gridSpan w:val="2"/>
            <w:tcBorders>
              <w:left w:val="single" w:color="auto" w:sz="4" w:space="0"/>
            </w:tcBorders>
            <w:vAlign w:val="center"/>
          </w:tcPr>
          <w:p w14:paraId="37810029">
            <w:pPr>
              <w:jc w:val="center"/>
              <w:rPr>
                <w:rFonts w:ascii="宋体" w:hAnsi="宋体" w:cs="宋体"/>
                <w:szCs w:val="21"/>
              </w:rPr>
            </w:pPr>
            <w:r>
              <w:rPr>
                <w:rFonts w:hint="eastAsia" w:ascii="宋体" w:hAnsi="宋体" w:cs="宋体"/>
                <w:szCs w:val="21"/>
              </w:rPr>
              <w:t>主要技术人员</w:t>
            </w:r>
            <w:r>
              <w:rPr>
                <w:rFonts w:hint="eastAsia" w:ascii="宋体" w:hAnsi="宋体" w:cs="宋体"/>
                <w:color w:val="0000FF"/>
                <w:szCs w:val="21"/>
              </w:rPr>
              <w:t>（如有，必填）</w:t>
            </w:r>
          </w:p>
        </w:tc>
        <w:tc>
          <w:tcPr>
            <w:tcW w:w="1096" w:type="dxa"/>
            <w:tcBorders>
              <w:left w:val="single" w:color="auto" w:sz="4" w:space="0"/>
            </w:tcBorders>
            <w:vAlign w:val="center"/>
          </w:tcPr>
          <w:p w14:paraId="3313675B">
            <w:pPr>
              <w:jc w:val="center"/>
              <w:rPr>
                <w:rFonts w:ascii="宋体" w:hAnsi="宋体" w:cs="宋体"/>
                <w:szCs w:val="21"/>
              </w:rPr>
            </w:pPr>
          </w:p>
        </w:tc>
        <w:tc>
          <w:tcPr>
            <w:tcW w:w="1029" w:type="dxa"/>
            <w:tcBorders>
              <w:left w:val="single" w:color="auto" w:sz="4" w:space="0"/>
            </w:tcBorders>
            <w:vAlign w:val="center"/>
          </w:tcPr>
          <w:p w14:paraId="7091FC8B">
            <w:pPr>
              <w:jc w:val="center"/>
              <w:rPr>
                <w:rFonts w:ascii="宋体" w:hAnsi="宋体" w:cs="宋体"/>
                <w:szCs w:val="21"/>
              </w:rPr>
            </w:pPr>
          </w:p>
        </w:tc>
        <w:tc>
          <w:tcPr>
            <w:tcW w:w="1578" w:type="dxa"/>
            <w:tcBorders>
              <w:left w:val="single" w:color="auto" w:sz="4" w:space="0"/>
            </w:tcBorders>
            <w:vAlign w:val="center"/>
          </w:tcPr>
          <w:p w14:paraId="77B2F10A">
            <w:pPr>
              <w:jc w:val="center"/>
              <w:rPr>
                <w:rFonts w:ascii="宋体" w:hAnsi="宋体" w:cs="宋体"/>
                <w:szCs w:val="21"/>
              </w:rPr>
            </w:pPr>
          </w:p>
        </w:tc>
        <w:tc>
          <w:tcPr>
            <w:tcW w:w="1357" w:type="dxa"/>
            <w:gridSpan w:val="2"/>
            <w:tcBorders>
              <w:left w:val="single" w:color="auto" w:sz="4" w:space="0"/>
            </w:tcBorders>
            <w:vAlign w:val="center"/>
          </w:tcPr>
          <w:p w14:paraId="1C928AC5">
            <w:pPr>
              <w:jc w:val="center"/>
              <w:rPr>
                <w:rFonts w:ascii="宋体" w:hAnsi="宋体" w:cs="宋体"/>
                <w:color w:val="0000FF"/>
                <w:szCs w:val="21"/>
              </w:rPr>
            </w:pPr>
            <w:r>
              <w:rPr>
                <w:rFonts w:hint="eastAsia" w:ascii="宋体" w:hAnsi="宋体" w:cs="宋体"/>
                <w:i/>
                <w:iCs/>
                <w:color w:val="0000FF"/>
                <w:szCs w:val="21"/>
              </w:rPr>
              <w:t>缴纳社保单位必须为供应商</w:t>
            </w:r>
          </w:p>
        </w:tc>
        <w:tc>
          <w:tcPr>
            <w:tcW w:w="2769" w:type="dxa"/>
            <w:vMerge w:val="continue"/>
            <w:tcBorders>
              <w:left w:val="single" w:color="auto" w:sz="4" w:space="0"/>
              <w:right w:val="single" w:color="auto" w:sz="4" w:space="0"/>
            </w:tcBorders>
            <w:vAlign w:val="center"/>
          </w:tcPr>
          <w:p w14:paraId="4105EFF4">
            <w:pPr>
              <w:rPr>
                <w:rFonts w:ascii="宋体" w:hAnsi="宋体" w:cs="宋体"/>
                <w:szCs w:val="21"/>
              </w:rPr>
            </w:pPr>
          </w:p>
        </w:tc>
      </w:tr>
      <w:tr w14:paraId="1E02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vAlign w:val="center"/>
          </w:tcPr>
          <w:p w14:paraId="5894B48F">
            <w:pPr>
              <w:jc w:val="center"/>
              <w:rPr>
                <w:rFonts w:ascii="宋体" w:hAnsi="宋体" w:cs="宋体"/>
                <w:szCs w:val="21"/>
              </w:rPr>
            </w:pPr>
            <w:r>
              <w:rPr>
                <w:rFonts w:hint="eastAsia" w:ascii="宋体" w:hAnsi="宋体" w:cs="宋体"/>
                <w:szCs w:val="21"/>
              </w:rPr>
              <w:t>5</w:t>
            </w:r>
          </w:p>
        </w:tc>
        <w:tc>
          <w:tcPr>
            <w:tcW w:w="1554" w:type="dxa"/>
            <w:gridSpan w:val="2"/>
            <w:tcBorders>
              <w:left w:val="single" w:color="auto" w:sz="4" w:space="0"/>
            </w:tcBorders>
            <w:vAlign w:val="center"/>
          </w:tcPr>
          <w:p w14:paraId="746E720A">
            <w:pPr>
              <w:snapToGrid w:val="0"/>
              <w:jc w:val="center"/>
              <w:rPr>
                <w:rFonts w:ascii="宋体" w:hAnsi="宋体" w:cs="宋体"/>
                <w:szCs w:val="21"/>
              </w:rPr>
            </w:pPr>
            <w:r>
              <w:rPr>
                <w:rFonts w:hint="eastAsia" w:ascii="宋体" w:hAnsi="宋体" w:cs="宋体"/>
                <w:szCs w:val="21"/>
              </w:rPr>
              <w:t>投标文件编制人员</w:t>
            </w:r>
          </w:p>
          <w:p w14:paraId="5675F12B">
            <w:pPr>
              <w:snapToGrid w:val="0"/>
              <w:jc w:val="center"/>
              <w:rPr>
                <w:rFonts w:ascii="宋体" w:hAnsi="宋体" w:cs="宋体"/>
                <w:szCs w:val="21"/>
              </w:rPr>
            </w:pPr>
            <w:r>
              <w:rPr>
                <w:rFonts w:hint="eastAsia" w:ascii="宋体" w:hAnsi="宋体" w:cs="宋体"/>
                <w:color w:val="0000FF"/>
                <w:szCs w:val="21"/>
              </w:rPr>
              <w:t>（必填）</w:t>
            </w:r>
          </w:p>
        </w:tc>
        <w:tc>
          <w:tcPr>
            <w:tcW w:w="1096" w:type="dxa"/>
            <w:tcBorders>
              <w:left w:val="single" w:color="auto" w:sz="4" w:space="0"/>
            </w:tcBorders>
            <w:vAlign w:val="center"/>
          </w:tcPr>
          <w:p w14:paraId="6692BE0C">
            <w:pPr>
              <w:jc w:val="center"/>
              <w:rPr>
                <w:rFonts w:ascii="宋体" w:hAnsi="宋体" w:cs="宋体"/>
                <w:szCs w:val="21"/>
              </w:rPr>
            </w:pPr>
          </w:p>
        </w:tc>
        <w:tc>
          <w:tcPr>
            <w:tcW w:w="1029" w:type="dxa"/>
            <w:tcBorders>
              <w:left w:val="single" w:color="auto" w:sz="4" w:space="0"/>
            </w:tcBorders>
            <w:vAlign w:val="center"/>
          </w:tcPr>
          <w:p w14:paraId="2BB469BD">
            <w:pPr>
              <w:jc w:val="center"/>
              <w:rPr>
                <w:rFonts w:ascii="宋体" w:hAnsi="宋体" w:cs="宋体"/>
                <w:szCs w:val="21"/>
              </w:rPr>
            </w:pPr>
          </w:p>
        </w:tc>
        <w:tc>
          <w:tcPr>
            <w:tcW w:w="1578" w:type="dxa"/>
            <w:tcBorders>
              <w:left w:val="single" w:color="auto" w:sz="4" w:space="0"/>
            </w:tcBorders>
            <w:vAlign w:val="center"/>
          </w:tcPr>
          <w:p w14:paraId="283A1769">
            <w:pPr>
              <w:jc w:val="center"/>
              <w:rPr>
                <w:rFonts w:ascii="宋体" w:hAnsi="宋体" w:cs="宋体"/>
                <w:szCs w:val="21"/>
              </w:rPr>
            </w:pPr>
          </w:p>
        </w:tc>
        <w:tc>
          <w:tcPr>
            <w:tcW w:w="1357" w:type="dxa"/>
            <w:gridSpan w:val="2"/>
            <w:tcBorders>
              <w:left w:val="single" w:color="auto" w:sz="4" w:space="0"/>
            </w:tcBorders>
            <w:vAlign w:val="center"/>
          </w:tcPr>
          <w:p w14:paraId="703ADA82">
            <w:pPr>
              <w:jc w:val="center"/>
              <w:rPr>
                <w:rFonts w:ascii="宋体" w:hAnsi="宋体" w:cs="宋体"/>
                <w:szCs w:val="21"/>
              </w:rPr>
            </w:pPr>
          </w:p>
        </w:tc>
        <w:tc>
          <w:tcPr>
            <w:tcW w:w="2769" w:type="dxa"/>
            <w:vMerge w:val="continue"/>
            <w:tcBorders>
              <w:left w:val="single" w:color="auto" w:sz="4" w:space="0"/>
              <w:right w:val="single" w:color="auto" w:sz="4" w:space="0"/>
            </w:tcBorders>
            <w:vAlign w:val="center"/>
          </w:tcPr>
          <w:p w14:paraId="0B206B82">
            <w:pPr>
              <w:rPr>
                <w:rFonts w:ascii="宋体" w:hAnsi="宋体" w:cs="宋体"/>
                <w:szCs w:val="21"/>
              </w:rPr>
            </w:pPr>
          </w:p>
        </w:tc>
      </w:tr>
      <w:tr w14:paraId="65EB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910" w:type="dxa"/>
            <w:gridSpan w:val="9"/>
            <w:vAlign w:val="center"/>
          </w:tcPr>
          <w:p w14:paraId="0C5DB32A">
            <w:pPr>
              <w:jc w:val="left"/>
              <w:rPr>
                <w:rFonts w:ascii="宋体" w:hAnsi="宋体" w:cs="宋体"/>
                <w:b/>
                <w:bCs/>
                <w:szCs w:val="21"/>
              </w:rPr>
            </w:pPr>
            <w:r>
              <w:rPr>
                <w:rFonts w:hint="eastAsia" w:ascii="宋体" w:hAnsi="宋体" w:cs="宋体"/>
                <w:b/>
                <w:bCs/>
                <w:szCs w:val="21"/>
              </w:rPr>
              <w:t>说明：同一职务有多人担任（如主要技术人员），应分行填写。</w:t>
            </w:r>
          </w:p>
        </w:tc>
      </w:tr>
      <w:tr w14:paraId="4645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910" w:type="dxa"/>
            <w:gridSpan w:val="9"/>
            <w:vAlign w:val="center"/>
          </w:tcPr>
          <w:p w14:paraId="44A2365E">
            <w:pPr>
              <w:jc w:val="center"/>
              <w:rPr>
                <w:rFonts w:ascii="宋体" w:hAnsi="宋体" w:cs="宋体"/>
                <w:b/>
                <w:bCs/>
                <w:szCs w:val="21"/>
              </w:rPr>
            </w:pPr>
            <w:r>
              <w:rPr>
                <w:rFonts w:hint="eastAsia" w:ascii="宋体" w:hAnsi="宋体" w:cs="宋体"/>
                <w:b/>
                <w:bCs/>
                <w:szCs w:val="21"/>
              </w:rPr>
              <w:t>投标（响应）供应商关联关系情况</w:t>
            </w:r>
          </w:p>
        </w:tc>
      </w:tr>
      <w:tr w14:paraId="59B7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bottom w:val="single" w:color="auto" w:sz="4" w:space="0"/>
            </w:tcBorders>
            <w:vAlign w:val="center"/>
          </w:tcPr>
          <w:p w14:paraId="1F7ADB3D">
            <w:pPr>
              <w:jc w:val="center"/>
              <w:rPr>
                <w:rFonts w:ascii="宋体" w:hAnsi="宋体" w:cs="宋体"/>
                <w:b/>
                <w:bCs/>
                <w:szCs w:val="21"/>
              </w:rPr>
            </w:pPr>
            <w:r>
              <w:rPr>
                <w:rFonts w:hint="eastAsia" w:ascii="宋体" w:hAnsi="宋体" w:cs="宋体"/>
                <w:b/>
                <w:bCs/>
                <w:szCs w:val="21"/>
              </w:rPr>
              <w:t>序号</w:t>
            </w:r>
          </w:p>
        </w:tc>
        <w:tc>
          <w:tcPr>
            <w:tcW w:w="1554" w:type="dxa"/>
            <w:gridSpan w:val="2"/>
            <w:tcBorders>
              <w:bottom w:val="single" w:color="auto" w:sz="4" w:space="0"/>
            </w:tcBorders>
            <w:vAlign w:val="center"/>
          </w:tcPr>
          <w:p w14:paraId="6B3576F2">
            <w:pPr>
              <w:jc w:val="center"/>
              <w:rPr>
                <w:rFonts w:ascii="宋体" w:hAnsi="宋体" w:cs="宋体"/>
                <w:b/>
                <w:bCs/>
                <w:szCs w:val="21"/>
              </w:rPr>
            </w:pPr>
            <w:r>
              <w:rPr>
                <w:rFonts w:hint="eastAsia" w:ascii="宋体" w:hAnsi="宋体" w:cs="宋体"/>
                <w:b/>
                <w:bCs/>
                <w:szCs w:val="21"/>
              </w:rPr>
              <w:t>关联关系类型</w:t>
            </w:r>
          </w:p>
        </w:tc>
        <w:tc>
          <w:tcPr>
            <w:tcW w:w="5060" w:type="dxa"/>
            <w:gridSpan w:val="5"/>
            <w:tcBorders>
              <w:bottom w:val="single" w:color="auto" w:sz="4" w:space="0"/>
            </w:tcBorders>
            <w:vAlign w:val="center"/>
          </w:tcPr>
          <w:p w14:paraId="5A262226">
            <w:pPr>
              <w:jc w:val="center"/>
              <w:rPr>
                <w:rFonts w:ascii="宋体" w:hAnsi="宋体" w:cs="宋体"/>
                <w:b/>
                <w:bCs/>
                <w:szCs w:val="21"/>
              </w:rPr>
            </w:pPr>
            <w:r>
              <w:rPr>
                <w:rFonts w:hint="eastAsia" w:ascii="宋体" w:hAnsi="宋体" w:cs="宋体"/>
                <w:b/>
                <w:bCs/>
                <w:szCs w:val="21"/>
              </w:rPr>
              <w:t>关联主体名称</w:t>
            </w:r>
          </w:p>
        </w:tc>
        <w:tc>
          <w:tcPr>
            <w:tcW w:w="2769" w:type="dxa"/>
            <w:tcBorders>
              <w:bottom w:val="single" w:color="auto" w:sz="4" w:space="0"/>
            </w:tcBorders>
            <w:vAlign w:val="center"/>
          </w:tcPr>
          <w:p w14:paraId="4B8260C1">
            <w:pPr>
              <w:jc w:val="center"/>
              <w:rPr>
                <w:rFonts w:ascii="宋体" w:hAnsi="宋体" w:cs="宋体"/>
                <w:b/>
                <w:bCs/>
                <w:szCs w:val="21"/>
              </w:rPr>
            </w:pPr>
            <w:r>
              <w:rPr>
                <w:rFonts w:hint="eastAsia" w:ascii="宋体" w:hAnsi="宋体" w:cs="宋体"/>
                <w:b/>
                <w:bCs/>
                <w:color w:val="FF0000"/>
                <w:szCs w:val="21"/>
              </w:rPr>
              <w:t>重要说明</w:t>
            </w:r>
          </w:p>
        </w:tc>
      </w:tr>
      <w:tr w14:paraId="3DC5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restart"/>
            <w:tcBorders>
              <w:top w:val="single" w:color="auto" w:sz="4" w:space="0"/>
              <w:left w:val="single" w:color="auto" w:sz="4" w:space="0"/>
              <w:right w:val="single" w:color="auto" w:sz="4" w:space="0"/>
            </w:tcBorders>
            <w:vAlign w:val="center"/>
          </w:tcPr>
          <w:p w14:paraId="22156DFA">
            <w:pPr>
              <w:jc w:val="center"/>
              <w:rPr>
                <w:rFonts w:ascii="宋体" w:hAnsi="宋体" w:cs="宋体"/>
                <w:szCs w:val="21"/>
              </w:rPr>
            </w:pPr>
            <w:r>
              <w:rPr>
                <w:rFonts w:hint="eastAsia" w:ascii="宋体" w:hAnsi="宋体" w:cs="宋体"/>
                <w:szCs w:val="21"/>
              </w:rPr>
              <w:t>1</w:t>
            </w:r>
          </w:p>
        </w:tc>
        <w:tc>
          <w:tcPr>
            <w:tcW w:w="1554" w:type="dxa"/>
            <w:gridSpan w:val="2"/>
            <w:vMerge w:val="restart"/>
            <w:tcBorders>
              <w:top w:val="single" w:color="auto" w:sz="4" w:space="0"/>
              <w:left w:val="single" w:color="auto" w:sz="4" w:space="0"/>
              <w:right w:val="single" w:color="auto" w:sz="4" w:space="0"/>
            </w:tcBorders>
            <w:vAlign w:val="center"/>
          </w:tcPr>
          <w:p w14:paraId="20808A35">
            <w:pPr>
              <w:jc w:val="center"/>
              <w:rPr>
                <w:rFonts w:ascii="宋体" w:hAnsi="宋体" w:cs="宋体"/>
                <w:color w:val="0000FF"/>
                <w:szCs w:val="21"/>
              </w:rPr>
            </w:pPr>
            <w:r>
              <w:rPr>
                <w:rFonts w:hint="eastAsia" w:ascii="宋体" w:hAnsi="宋体" w:cs="宋体"/>
                <w:color w:val="0000FF"/>
                <w:szCs w:val="21"/>
              </w:rPr>
              <w:t>股东</w:t>
            </w:r>
          </w:p>
        </w:tc>
        <w:tc>
          <w:tcPr>
            <w:tcW w:w="1096" w:type="dxa"/>
            <w:vMerge w:val="restart"/>
            <w:tcBorders>
              <w:top w:val="single" w:color="auto" w:sz="4" w:space="0"/>
              <w:left w:val="single" w:color="auto" w:sz="4" w:space="0"/>
              <w:right w:val="single" w:color="auto" w:sz="4" w:space="0"/>
            </w:tcBorders>
            <w:vAlign w:val="center"/>
          </w:tcPr>
          <w:p w14:paraId="1E24711C">
            <w:pPr>
              <w:spacing w:line="300" w:lineRule="exact"/>
              <w:jc w:val="center"/>
              <w:rPr>
                <w:rFonts w:ascii="宋体" w:hAnsi="宋体" w:cs="宋体"/>
                <w:szCs w:val="21"/>
              </w:rPr>
            </w:pPr>
            <w:r>
              <w:rPr>
                <w:rFonts w:hint="eastAsia" w:ascii="宋体" w:hAnsi="宋体" w:cs="宋体"/>
                <w:color w:val="0000FF"/>
                <w:szCs w:val="21"/>
              </w:rPr>
              <w:t>控股股东/投资人名称及出资比例</w:t>
            </w:r>
          </w:p>
        </w:tc>
        <w:tc>
          <w:tcPr>
            <w:tcW w:w="1029" w:type="dxa"/>
            <w:tcBorders>
              <w:top w:val="single" w:color="auto" w:sz="4" w:space="0"/>
              <w:left w:val="single" w:color="auto" w:sz="4" w:space="0"/>
              <w:bottom w:val="single" w:color="auto" w:sz="4" w:space="0"/>
              <w:right w:val="single" w:color="auto" w:sz="4" w:space="0"/>
            </w:tcBorders>
            <w:vAlign w:val="center"/>
          </w:tcPr>
          <w:p w14:paraId="12D3E9CC">
            <w:pPr>
              <w:spacing w:line="300" w:lineRule="exact"/>
              <w:jc w:val="center"/>
              <w:rPr>
                <w:rFonts w:ascii="宋体" w:hAnsi="宋体" w:cs="宋体"/>
                <w:szCs w:val="21"/>
              </w:rPr>
            </w:pPr>
            <w:r>
              <w:rPr>
                <w:rFonts w:hint="eastAsia" w:ascii="宋体" w:hAnsi="宋体" w:cs="宋体"/>
                <w:color w:val="0000FF"/>
                <w:szCs w:val="21"/>
              </w:rPr>
              <w:t>姓名（自然人）</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352A9AC4">
            <w:pPr>
              <w:spacing w:line="300" w:lineRule="exact"/>
              <w:jc w:val="center"/>
              <w:rPr>
                <w:rFonts w:ascii="宋体" w:hAnsi="宋体" w:cs="宋体"/>
                <w:szCs w:val="21"/>
              </w:rPr>
            </w:pPr>
            <w:r>
              <w:rPr>
                <w:rFonts w:hint="eastAsia" w:ascii="宋体" w:hAnsi="宋体" w:cs="宋体"/>
                <w:color w:val="0000FF"/>
                <w:szCs w:val="21"/>
              </w:rPr>
              <w:t>身份证号</w:t>
            </w:r>
          </w:p>
        </w:tc>
        <w:tc>
          <w:tcPr>
            <w:tcW w:w="1270" w:type="dxa"/>
            <w:tcBorders>
              <w:top w:val="single" w:color="auto" w:sz="4" w:space="0"/>
              <w:left w:val="single" w:color="auto" w:sz="4" w:space="0"/>
              <w:bottom w:val="single" w:color="auto" w:sz="4" w:space="0"/>
              <w:right w:val="single" w:color="auto" w:sz="4" w:space="0"/>
            </w:tcBorders>
            <w:vAlign w:val="center"/>
          </w:tcPr>
          <w:p w14:paraId="61AAF688">
            <w:pPr>
              <w:spacing w:line="300" w:lineRule="exact"/>
              <w:jc w:val="center"/>
              <w:rPr>
                <w:rFonts w:ascii="宋体" w:hAnsi="宋体" w:cs="宋体"/>
                <w:szCs w:val="21"/>
              </w:rPr>
            </w:pPr>
            <w:r>
              <w:rPr>
                <w:rFonts w:hint="eastAsia" w:ascii="宋体" w:hAnsi="宋体" w:cs="宋体"/>
                <w:color w:val="0000FF"/>
                <w:szCs w:val="21"/>
              </w:rPr>
              <w:t>出资比例（%）</w:t>
            </w:r>
          </w:p>
        </w:tc>
        <w:tc>
          <w:tcPr>
            <w:tcW w:w="2769" w:type="dxa"/>
            <w:vMerge w:val="restart"/>
            <w:tcBorders>
              <w:top w:val="single" w:color="auto" w:sz="4" w:space="0"/>
              <w:left w:val="single" w:color="auto" w:sz="4" w:space="0"/>
              <w:right w:val="single" w:color="auto" w:sz="4" w:space="0"/>
            </w:tcBorders>
            <w:vAlign w:val="center"/>
          </w:tcPr>
          <w:p w14:paraId="2EFDA0B2">
            <w:pPr>
              <w:snapToGrid w:val="0"/>
              <w:jc w:val="left"/>
              <w:rPr>
                <w:rFonts w:ascii="宋体" w:hAnsi="宋体" w:cs="宋体"/>
                <w:b/>
                <w:bCs/>
                <w:szCs w:val="21"/>
              </w:rPr>
            </w:pPr>
            <w:r>
              <w:rPr>
                <w:rFonts w:hint="eastAsia" w:ascii="宋体" w:hAnsi="宋体" w:cs="宋体"/>
                <w:b/>
                <w:bCs/>
                <w:szCs w:val="21"/>
              </w:rPr>
              <w:t>请根据公司股东相关情况如实填写：</w:t>
            </w:r>
          </w:p>
          <w:p w14:paraId="0827B214">
            <w:pPr>
              <w:snapToGrid w:val="0"/>
              <w:jc w:val="left"/>
              <w:rPr>
                <w:rFonts w:ascii="宋体" w:hAnsi="宋体" w:cs="宋体"/>
                <w:szCs w:val="21"/>
              </w:rPr>
            </w:pPr>
            <w:r>
              <w:rPr>
                <w:rFonts w:hint="eastAsia" w:ascii="宋体" w:hAnsi="宋体" w:cs="宋体"/>
                <w:b/>
                <w:bCs/>
                <w:szCs w:val="21"/>
              </w:rPr>
              <w:t>控股股东是指</w:t>
            </w:r>
            <w:r>
              <w:rPr>
                <w:rFonts w:hint="eastAsia" w:ascii="宋体" w:hAnsi="宋体" w:cs="宋体"/>
                <w:szCs w:val="21"/>
              </w:rPr>
              <w:t>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p w14:paraId="777EAF4F">
            <w:pPr>
              <w:snapToGrid w:val="0"/>
              <w:jc w:val="left"/>
              <w:rPr>
                <w:rFonts w:ascii="宋体" w:hAnsi="宋体" w:cs="宋体"/>
                <w:szCs w:val="21"/>
              </w:rPr>
            </w:pPr>
          </w:p>
          <w:p w14:paraId="043EF765">
            <w:pPr>
              <w:snapToGrid w:val="0"/>
              <w:jc w:val="left"/>
              <w:rPr>
                <w:rFonts w:ascii="宋体" w:hAnsi="宋体" w:cs="宋体"/>
                <w:szCs w:val="21"/>
              </w:rPr>
            </w:pPr>
            <w:r>
              <w:rPr>
                <w:rFonts w:hint="eastAsia" w:ascii="宋体" w:hAnsi="宋体" w:cs="宋体"/>
                <w:b/>
                <w:bCs/>
                <w:color w:val="FF0000"/>
                <w:szCs w:val="21"/>
              </w:rPr>
              <w:t>非控股股东是指</w:t>
            </w:r>
            <w:r>
              <w:rPr>
                <w:rFonts w:hint="eastAsia" w:ascii="宋体" w:hAnsi="宋体" w:cs="宋体"/>
                <w:color w:val="FF0000"/>
                <w:szCs w:val="21"/>
              </w:rPr>
              <w:t>除控股股东外的其他投资人，超过5名的填写非控股股东中出资比例最高的前五名，不足5名的全部填写。</w:t>
            </w:r>
          </w:p>
        </w:tc>
      </w:tr>
      <w:tr w14:paraId="7FC2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4B13F04D">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3D29E09F">
            <w:pPr>
              <w:rPr>
                <w:rFonts w:ascii="宋体" w:hAnsi="宋体" w:cs="宋体"/>
                <w:szCs w:val="21"/>
              </w:rPr>
            </w:pPr>
          </w:p>
        </w:tc>
        <w:tc>
          <w:tcPr>
            <w:tcW w:w="1096" w:type="dxa"/>
            <w:vMerge w:val="continue"/>
            <w:tcBorders>
              <w:left w:val="single" w:color="auto" w:sz="4" w:space="0"/>
              <w:right w:val="single" w:color="auto" w:sz="4" w:space="0"/>
            </w:tcBorders>
            <w:vAlign w:val="center"/>
          </w:tcPr>
          <w:p w14:paraId="5EFDD5CC">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74AABCA5">
            <w:pPr>
              <w:spacing w:line="300" w:lineRule="exact"/>
              <w:jc w:val="center"/>
              <w:rPr>
                <w:rFonts w:ascii="宋体" w:hAnsi="宋体" w:cs="宋体"/>
                <w:szCs w:val="21"/>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138F9311">
            <w:pPr>
              <w:spacing w:line="300" w:lineRule="exact"/>
              <w:jc w:val="center"/>
              <w:rPr>
                <w:rFonts w:ascii="宋体" w:hAnsi="宋体" w:cs="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37A60DEB">
            <w:pPr>
              <w:spacing w:line="300" w:lineRule="exact"/>
              <w:jc w:val="center"/>
              <w:rPr>
                <w:rFonts w:ascii="宋体" w:hAnsi="宋体" w:cs="宋体"/>
                <w:szCs w:val="21"/>
              </w:rPr>
            </w:pPr>
          </w:p>
        </w:tc>
        <w:tc>
          <w:tcPr>
            <w:tcW w:w="2769" w:type="dxa"/>
            <w:vMerge w:val="continue"/>
            <w:tcBorders>
              <w:left w:val="single" w:color="auto" w:sz="4" w:space="0"/>
              <w:right w:val="single" w:color="auto" w:sz="4" w:space="0"/>
            </w:tcBorders>
            <w:vAlign w:val="center"/>
          </w:tcPr>
          <w:p w14:paraId="0032CAAD">
            <w:pPr>
              <w:rPr>
                <w:rFonts w:ascii="宋体" w:hAnsi="宋体" w:cs="宋体"/>
                <w:szCs w:val="21"/>
              </w:rPr>
            </w:pPr>
          </w:p>
        </w:tc>
      </w:tr>
      <w:tr w14:paraId="241B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70052191">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0D894655">
            <w:pPr>
              <w:rPr>
                <w:rFonts w:ascii="宋体" w:hAnsi="宋体" w:cs="宋体"/>
                <w:szCs w:val="21"/>
              </w:rPr>
            </w:pPr>
          </w:p>
        </w:tc>
        <w:tc>
          <w:tcPr>
            <w:tcW w:w="1096" w:type="dxa"/>
            <w:vMerge w:val="continue"/>
            <w:tcBorders>
              <w:left w:val="single" w:color="auto" w:sz="4" w:space="0"/>
              <w:right w:val="single" w:color="auto" w:sz="4" w:space="0"/>
            </w:tcBorders>
            <w:vAlign w:val="center"/>
          </w:tcPr>
          <w:p w14:paraId="7C1158E7">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25DB3B82">
            <w:pPr>
              <w:spacing w:line="300" w:lineRule="exact"/>
              <w:jc w:val="center"/>
              <w:rPr>
                <w:rFonts w:ascii="宋体" w:hAnsi="宋体" w:cs="宋体"/>
                <w:szCs w:val="21"/>
              </w:rPr>
            </w:pPr>
            <w:r>
              <w:rPr>
                <w:rFonts w:hint="eastAsia" w:ascii="宋体" w:hAnsi="宋体" w:cs="宋体"/>
                <w:color w:val="0000FF"/>
                <w:szCs w:val="21"/>
              </w:rPr>
              <w:t>…</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7DED083E">
            <w:pPr>
              <w:spacing w:line="300" w:lineRule="exact"/>
              <w:jc w:val="center"/>
              <w:rPr>
                <w:rFonts w:ascii="宋体" w:hAnsi="宋体" w:cs="宋体"/>
                <w:szCs w:val="21"/>
              </w:rPr>
            </w:pPr>
            <w:r>
              <w:rPr>
                <w:rFonts w:hint="eastAsia" w:ascii="宋体" w:hAnsi="宋体" w:cs="宋体"/>
                <w:color w:val="0000FF"/>
                <w:szCs w:val="21"/>
              </w:rPr>
              <w:t>…</w:t>
            </w:r>
          </w:p>
        </w:tc>
        <w:tc>
          <w:tcPr>
            <w:tcW w:w="1270" w:type="dxa"/>
            <w:tcBorders>
              <w:top w:val="single" w:color="auto" w:sz="4" w:space="0"/>
              <w:left w:val="single" w:color="auto" w:sz="4" w:space="0"/>
              <w:bottom w:val="single" w:color="auto" w:sz="4" w:space="0"/>
              <w:right w:val="single" w:color="auto" w:sz="4" w:space="0"/>
            </w:tcBorders>
            <w:vAlign w:val="center"/>
          </w:tcPr>
          <w:p w14:paraId="0333B0FE">
            <w:pPr>
              <w:spacing w:line="300" w:lineRule="exact"/>
              <w:jc w:val="center"/>
              <w:rPr>
                <w:rFonts w:ascii="宋体" w:hAnsi="宋体" w:cs="宋体"/>
                <w:szCs w:val="21"/>
              </w:rPr>
            </w:pPr>
            <w:r>
              <w:rPr>
                <w:rFonts w:hint="eastAsia" w:ascii="宋体" w:hAnsi="宋体" w:cs="宋体"/>
                <w:color w:val="0000FF"/>
                <w:szCs w:val="21"/>
              </w:rPr>
              <w:t>…</w:t>
            </w:r>
          </w:p>
        </w:tc>
        <w:tc>
          <w:tcPr>
            <w:tcW w:w="2769" w:type="dxa"/>
            <w:vMerge w:val="continue"/>
            <w:tcBorders>
              <w:left w:val="single" w:color="auto" w:sz="4" w:space="0"/>
              <w:right w:val="single" w:color="auto" w:sz="4" w:space="0"/>
            </w:tcBorders>
            <w:vAlign w:val="center"/>
          </w:tcPr>
          <w:p w14:paraId="29D8A29E">
            <w:pPr>
              <w:rPr>
                <w:rFonts w:ascii="宋体" w:hAnsi="宋体" w:cs="宋体"/>
                <w:szCs w:val="21"/>
              </w:rPr>
            </w:pPr>
          </w:p>
        </w:tc>
      </w:tr>
      <w:tr w14:paraId="080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301BF068">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01C0BA40">
            <w:pPr>
              <w:rPr>
                <w:rFonts w:ascii="宋体" w:hAnsi="宋体" w:cs="宋体"/>
                <w:szCs w:val="21"/>
              </w:rPr>
            </w:pPr>
          </w:p>
        </w:tc>
        <w:tc>
          <w:tcPr>
            <w:tcW w:w="1096" w:type="dxa"/>
            <w:vMerge w:val="continue"/>
            <w:tcBorders>
              <w:left w:val="single" w:color="auto" w:sz="4" w:space="0"/>
              <w:right w:val="single" w:color="auto" w:sz="4" w:space="0"/>
            </w:tcBorders>
            <w:vAlign w:val="center"/>
          </w:tcPr>
          <w:p w14:paraId="3BE9B67E">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6AAB77E5">
            <w:pPr>
              <w:spacing w:line="300" w:lineRule="exact"/>
              <w:rPr>
                <w:rFonts w:ascii="宋体" w:hAnsi="宋体" w:cs="宋体"/>
                <w:szCs w:val="21"/>
              </w:rPr>
            </w:pPr>
            <w:r>
              <w:rPr>
                <w:rFonts w:hint="eastAsia" w:ascii="宋体" w:hAnsi="宋体" w:cs="宋体"/>
                <w:color w:val="0000FF"/>
                <w:szCs w:val="21"/>
              </w:rPr>
              <w:t>名称（非自然人）</w:t>
            </w: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0CA21010">
            <w:pPr>
              <w:spacing w:line="300" w:lineRule="exact"/>
              <w:jc w:val="center"/>
              <w:rPr>
                <w:rFonts w:ascii="宋体" w:hAnsi="宋体" w:cs="宋体"/>
                <w:szCs w:val="21"/>
              </w:rPr>
            </w:pPr>
            <w:r>
              <w:rPr>
                <w:rFonts w:hint="eastAsia" w:ascii="宋体" w:hAnsi="宋体" w:cs="宋体"/>
                <w:color w:val="0000FF"/>
                <w:szCs w:val="21"/>
              </w:rPr>
              <w:t>出资比例（%）</w:t>
            </w:r>
          </w:p>
        </w:tc>
        <w:tc>
          <w:tcPr>
            <w:tcW w:w="2769" w:type="dxa"/>
            <w:vMerge w:val="continue"/>
            <w:tcBorders>
              <w:left w:val="single" w:color="auto" w:sz="4" w:space="0"/>
              <w:right w:val="single" w:color="auto" w:sz="4" w:space="0"/>
            </w:tcBorders>
            <w:vAlign w:val="center"/>
          </w:tcPr>
          <w:p w14:paraId="04142BE1">
            <w:pPr>
              <w:rPr>
                <w:rFonts w:ascii="宋体" w:hAnsi="宋体" w:cs="宋体"/>
                <w:szCs w:val="21"/>
              </w:rPr>
            </w:pPr>
          </w:p>
        </w:tc>
      </w:tr>
      <w:tr w14:paraId="49D9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7FAE4738">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22CB2DCE">
            <w:pPr>
              <w:rPr>
                <w:rFonts w:ascii="宋体" w:hAnsi="宋体" w:cs="宋体"/>
                <w:szCs w:val="21"/>
              </w:rPr>
            </w:pPr>
          </w:p>
        </w:tc>
        <w:tc>
          <w:tcPr>
            <w:tcW w:w="1096" w:type="dxa"/>
            <w:vMerge w:val="continue"/>
            <w:tcBorders>
              <w:left w:val="single" w:color="auto" w:sz="4" w:space="0"/>
              <w:right w:val="single" w:color="auto" w:sz="4" w:space="0"/>
            </w:tcBorders>
            <w:vAlign w:val="center"/>
          </w:tcPr>
          <w:p w14:paraId="2EB3772C">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13DBE826">
            <w:pPr>
              <w:spacing w:line="300" w:lineRule="exact"/>
              <w:jc w:val="center"/>
              <w:rPr>
                <w:rFonts w:ascii="宋体" w:hAnsi="宋体" w:cs="宋体"/>
                <w:szCs w:val="21"/>
              </w:rPr>
            </w:pP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304B6C84">
            <w:pPr>
              <w:spacing w:line="300" w:lineRule="exact"/>
              <w:jc w:val="center"/>
              <w:rPr>
                <w:rFonts w:ascii="宋体" w:hAnsi="宋体" w:cs="宋体"/>
                <w:szCs w:val="21"/>
              </w:rPr>
            </w:pPr>
          </w:p>
        </w:tc>
        <w:tc>
          <w:tcPr>
            <w:tcW w:w="2769" w:type="dxa"/>
            <w:vMerge w:val="continue"/>
            <w:tcBorders>
              <w:left w:val="single" w:color="auto" w:sz="4" w:space="0"/>
              <w:right w:val="single" w:color="auto" w:sz="4" w:space="0"/>
            </w:tcBorders>
            <w:vAlign w:val="center"/>
          </w:tcPr>
          <w:p w14:paraId="437138FA">
            <w:pPr>
              <w:rPr>
                <w:rFonts w:ascii="宋体" w:hAnsi="宋体" w:cs="宋体"/>
                <w:szCs w:val="21"/>
              </w:rPr>
            </w:pPr>
          </w:p>
        </w:tc>
      </w:tr>
      <w:tr w14:paraId="5D33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7774A140">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488F33BE">
            <w:pPr>
              <w:rPr>
                <w:rFonts w:ascii="宋体" w:hAnsi="宋体" w:cs="宋体"/>
                <w:szCs w:val="21"/>
              </w:rPr>
            </w:pPr>
          </w:p>
        </w:tc>
        <w:tc>
          <w:tcPr>
            <w:tcW w:w="1096" w:type="dxa"/>
            <w:vMerge w:val="continue"/>
            <w:tcBorders>
              <w:left w:val="single" w:color="auto" w:sz="4" w:space="0"/>
              <w:bottom w:val="single" w:color="auto" w:sz="4" w:space="0"/>
              <w:right w:val="single" w:color="auto" w:sz="4" w:space="0"/>
            </w:tcBorders>
            <w:vAlign w:val="center"/>
          </w:tcPr>
          <w:p w14:paraId="0B7C7ABC">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16DE4B19">
            <w:pPr>
              <w:spacing w:line="300" w:lineRule="exact"/>
              <w:jc w:val="center"/>
              <w:rPr>
                <w:rFonts w:ascii="宋体" w:hAnsi="宋体" w:cs="宋体"/>
                <w:szCs w:val="21"/>
              </w:rPr>
            </w:pPr>
            <w:r>
              <w:rPr>
                <w:rFonts w:hint="eastAsia" w:ascii="宋体" w:hAnsi="宋体" w:cs="宋体"/>
                <w:color w:val="0000FF"/>
                <w:szCs w:val="21"/>
              </w:rPr>
              <w:t>…</w:t>
            </w: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069C0465">
            <w:pPr>
              <w:spacing w:line="300" w:lineRule="exact"/>
              <w:jc w:val="center"/>
              <w:rPr>
                <w:rFonts w:ascii="宋体" w:hAnsi="宋体" w:cs="宋体"/>
                <w:szCs w:val="21"/>
              </w:rPr>
            </w:pPr>
            <w:r>
              <w:rPr>
                <w:rFonts w:hint="eastAsia" w:ascii="宋体" w:hAnsi="宋体" w:cs="宋体"/>
                <w:color w:val="0000FF"/>
                <w:szCs w:val="21"/>
              </w:rPr>
              <w:t>…</w:t>
            </w:r>
          </w:p>
        </w:tc>
        <w:tc>
          <w:tcPr>
            <w:tcW w:w="2769" w:type="dxa"/>
            <w:vMerge w:val="continue"/>
            <w:tcBorders>
              <w:left w:val="single" w:color="auto" w:sz="4" w:space="0"/>
              <w:right w:val="single" w:color="auto" w:sz="4" w:space="0"/>
            </w:tcBorders>
            <w:vAlign w:val="center"/>
          </w:tcPr>
          <w:p w14:paraId="1F481F07">
            <w:pPr>
              <w:rPr>
                <w:rFonts w:ascii="宋体" w:hAnsi="宋体" w:cs="宋体"/>
                <w:szCs w:val="21"/>
              </w:rPr>
            </w:pPr>
          </w:p>
        </w:tc>
      </w:tr>
      <w:tr w14:paraId="730C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25A15354">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33354D0B">
            <w:pPr>
              <w:rPr>
                <w:rFonts w:ascii="宋体" w:hAnsi="宋体" w:cs="宋体"/>
                <w:szCs w:val="21"/>
              </w:rPr>
            </w:pPr>
          </w:p>
        </w:tc>
        <w:tc>
          <w:tcPr>
            <w:tcW w:w="1096" w:type="dxa"/>
            <w:vMerge w:val="restart"/>
            <w:tcBorders>
              <w:top w:val="single" w:color="auto" w:sz="4" w:space="0"/>
              <w:left w:val="single" w:color="auto" w:sz="4" w:space="0"/>
              <w:right w:val="single" w:color="auto" w:sz="4" w:space="0"/>
            </w:tcBorders>
            <w:vAlign w:val="center"/>
          </w:tcPr>
          <w:p w14:paraId="1F2286C9">
            <w:pPr>
              <w:spacing w:line="300" w:lineRule="exact"/>
              <w:jc w:val="center"/>
              <w:rPr>
                <w:rFonts w:ascii="宋体" w:hAnsi="宋体" w:cs="宋体"/>
                <w:color w:val="0000FF"/>
                <w:szCs w:val="21"/>
              </w:rPr>
            </w:pPr>
            <w:r>
              <w:rPr>
                <w:rFonts w:hint="eastAsia" w:ascii="宋体" w:hAnsi="宋体" w:cs="宋体"/>
                <w:color w:val="0000FF"/>
                <w:szCs w:val="21"/>
              </w:rPr>
              <w:t>非控股股东/投资人名称</w:t>
            </w:r>
          </w:p>
          <w:p w14:paraId="6543B427">
            <w:pPr>
              <w:spacing w:line="300" w:lineRule="exact"/>
              <w:jc w:val="center"/>
              <w:rPr>
                <w:rFonts w:ascii="宋体" w:hAnsi="宋体" w:cs="宋体"/>
                <w:szCs w:val="21"/>
              </w:rPr>
            </w:pPr>
            <w:r>
              <w:rPr>
                <w:rFonts w:hint="eastAsia" w:ascii="宋体" w:hAnsi="宋体" w:cs="宋体"/>
                <w:color w:val="0000FF"/>
                <w:szCs w:val="21"/>
              </w:rPr>
              <w:t>及出资比例</w:t>
            </w:r>
          </w:p>
        </w:tc>
        <w:tc>
          <w:tcPr>
            <w:tcW w:w="1029" w:type="dxa"/>
            <w:tcBorders>
              <w:top w:val="single" w:color="auto" w:sz="4" w:space="0"/>
              <w:left w:val="single" w:color="auto" w:sz="4" w:space="0"/>
              <w:bottom w:val="single" w:color="auto" w:sz="4" w:space="0"/>
              <w:right w:val="single" w:color="auto" w:sz="4" w:space="0"/>
            </w:tcBorders>
            <w:vAlign w:val="center"/>
          </w:tcPr>
          <w:p w14:paraId="70ADDCC2">
            <w:pPr>
              <w:spacing w:line="300" w:lineRule="exact"/>
              <w:jc w:val="center"/>
              <w:rPr>
                <w:rFonts w:ascii="宋体" w:hAnsi="宋体" w:cs="宋体"/>
                <w:szCs w:val="21"/>
              </w:rPr>
            </w:pPr>
            <w:r>
              <w:rPr>
                <w:rFonts w:hint="eastAsia" w:ascii="宋体" w:hAnsi="宋体" w:cs="宋体"/>
                <w:color w:val="0000FF"/>
                <w:szCs w:val="21"/>
              </w:rPr>
              <w:t>姓名（自然人）</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1BE2A1DF">
            <w:pPr>
              <w:spacing w:line="300" w:lineRule="exact"/>
              <w:jc w:val="center"/>
              <w:rPr>
                <w:rFonts w:ascii="宋体" w:hAnsi="宋体" w:cs="宋体"/>
                <w:szCs w:val="21"/>
              </w:rPr>
            </w:pPr>
            <w:r>
              <w:rPr>
                <w:rFonts w:hint="eastAsia" w:ascii="宋体" w:hAnsi="宋体" w:cs="宋体"/>
                <w:color w:val="0000FF"/>
                <w:szCs w:val="21"/>
              </w:rPr>
              <w:t>身份证号</w:t>
            </w:r>
          </w:p>
        </w:tc>
        <w:tc>
          <w:tcPr>
            <w:tcW w:w="1270" w:type="dxa"/>
            <w:tcBorders>
              <w:top w:val="single" w:color="auto" w:sz="4" w:space="0"/>
              <w:left w:val="single" w:color="auto" w:sz="4" w:space="0"/>
              <w:bottom w:val="single" w:color="auto" w:sz="4" w:space="0"/>
              <w:right w:val="single" w:color="auto" w:sz="4" w:space="0"/>
            </w:tcBorders>
            <w:vAlign w:val="center"/>
          </w:tcPr>
          <w:p w14:paraId="3B9B4674">
            <w:pPr>
              <w:spacing w:line="300" w:lineRule="exact"/>
              <w:jc w:val="center"/>
              <w:rPr>
                <w:rFonts w:ascii="宋体" w:hAnsi="宋体" w:cs="宋体"/>
                <w:szCs w:val="21"/>
              </w:rPr>
            </w:pPr>
            <w:r>
              <w:rPr>
                <w:rFonts w:hint="eastAsia" w:ascii="宋体" w:hAnsi="宋体" w:cs="宋体"/>
                <w:color w:val="0000FF"/>
                <w:szCs w:val="21"/>
              </w:rPr>
              <w:t>出资比例（%）</w:t>
            </w:r>
          </w:p>
        </w:tc>
        <w:tc>
          <w:tcPr>
            <w:tcW w:w="2769" w:type="dxa"/>
            <w:vMerge w:val="continue"/>
            <w:tcBorders>
              <w:left w:val="single" w:color="auto" w:sz="4" w:space="0"/>
              <w:right w:val="single" w:color="auto" w:sz="4" w:space="0"/>
            </w:tcBorders>
            <w:vAlign w:val="center"/>
          </w:tcPr>
          <w:p w14:paraId="2BD29D23">
            <w:pPr>
              <w:rPr>
                <w:rFonts w:ascii="宋体" w:hAnsi="宋体" w:cs="宋体"/>
                <w:szCs w:val="21"/>
              </w:rPr>
            </w:pPr>
          </w:p>
        </w:tc>
      </w:tr>
      <w:tr w14:paraId="3968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0C19A69D">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1EDDAD0D">
            <w:pPr>
              <w:rPr>
                <w:rFonts w:ascii="宋体" w:hAnsi="宋体" w:cs="宋体"/>
                <w:szCs w:val="21"/>
              </w:rPr>
            </w:pPr>
          </w:p>
        </w:tc>
        <w:tc>
          <w:tcPr>
            <w:tcW w:w="1096" w:type="dxa"/>
            <w:vMerge w:val="continue"/>
            <w:tcBorders>
              <w:left w:val="single" w:color="auto" w:sz="4" w:space="0"/>
              <w:right w:val="single" w:color="auto" w:sz="4" w:space="0"/>
            </w:tcBorders>
            <w:vAlign w:val="center"/>
          </w:tcPr>
          <w:p w14:paraId="543B53C2">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04364A1A">
            <w:pPr>
              <w:spacing w:line="300" w:lineRule="exact"/>
              <w:jc w:val="center"/>
              <w:rPr>
                <w:rFonts w:ascii="宋体" w:hAnsi="宋体" w:cs="宋体"/>
                <w:szCs w:val="21"/>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64D58175">
            <w:pPr>
              <w:spacing w:line="300" w:lineRule="exact"/>
              <w:jc w:val="center"/>
              <w:rPr>
                <w:rFonts w:ascii="宋体" w:hAnsi="宋体" w:cs="宋体"/>
                <w:szCs w:val="21"/>
              </w:rPr>
            </w:pPr>
          </w:p>
        </w:tc>
        <w:tc>
          <w:tcPr>
            <w:tcW w:w="1270" w:type="dxa"/>
            <w:tcBorders>
              <w:top w:val="single" w:color="auto" w:sz="4" w:space="0"/>
              <w:left w:val="single" w:color="auto" w:sz="4" w:space="0"/>
              <w:bottom w:val="single" w:color="auto" w:sz="4" w:space="0"/>
              <w:right w:val="single" w:color="auto" w:sz="4" w:space="0"/>
            </w:tcBorders>
            <w:vAlign w:val="center"/>
          </w:tcPr>
          <w:p w14:paraId="0C73C70E">
            <w:pPr>
              <w:spacing w:line="300" w:lineRule="exact"/>
              <w:jc w:val="center"/>
              <w:rPr>
                <w:rFonts w:ascii="宋体" w:hAnsi="宋体" w:cs="宋体"/>
                <w:szCs w:val="21"/>
              </w:rPr>
            </w:pPr>
          </w:p>
        </w:tc>
        <w:tc>
          <w:tcPr>
            <w:tcW w:w="2769" w:type="dxa"/>
            <w:vMerge w:val="continue"/>
            <w:tcBorders>
              <w:left w:val="single" w:color="auto" w:sz="4" w:space="0"/>
              <w:right w:val="single" w:color="auto" w:sz="4" w:space="0"/>
            </w:tcBorders>
            <w:vAlign w:val="center"/>
          </w:tcPr>
          <w:p w14:paraId="32E7D3A3">
            <w:pPr>
              <w:rPr>
                <w:rFonts w:ascii="宋体" w:hAnsi="宋体" w:cs="宋体"/>
                <w:szCs w:val="21"/>
              </w:rPr>
            </w:pPr>
          </w:p>
        </w:tc>
      </w:tr>
      <w:tr w14:paraId="6DC4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72CB40C6">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2955155D">
            <w:pPr>
              <w:rPr>
                <w:rFonts w:ascii="宋体" w:hAnsi="宋体" w:cs="宋体"/>
                <w:szCs w:val="21"/>
              </w:rPr>
            </w:pPr>
          </w:p>
        </w:tc>
        <w:tc>
          <w:tcPr>
            <w:tcW w:w="1096" w:type="dxa"/>
            <w:vMerge w:val="continue"/>
            <w:tcBorders>
              <w:left w:val="single" w:color="auto" w:sz="4" w:space="0"/>
              <w:right w:val="single" w:color="auto" w:sz="4" w:space="0"/>
            </w:tcBorders>
            <w:vAlign w:val="center"/>
          </w:tcPr>
          <w:p w14:paraId="19A067E6">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7CA14A6F">
            <w:pPr>
              <w:spacing w:line="300" w:lineRule="exact"/>
              <w:jc w:val="center"/>
              <w:rPr>
                <w:rFonts w:ascii="宋体" w:hAnsi="宋体" w:cs="宋体"/>
                <w:szCs w:val="21"/>
              </w:rPr>
            </w:pPr>
            <w:r>
              <w:rPr>
                <w:rFonts w:hint="eastAsia" w:ascii="宋体" w:hAnsi="宋体" w:cs="宋体"/>
                <w:color w:val="0000FF"/>
                <w:szCs w:val="21"/>
              </w:rPr>
              <w:t>…</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1E009E92">
            <w:pPr>
              <w:spacing w:line="300" w:lineRule="exact"/>
              <w:jc w:val="center"/>
              <w:rPr>
                <w:rFonts w:ascii="宋体" w:hAnsi="宋体" w:cs="宋体"/>
                <w:szCs w:val="21"/>
              </w:rPr>
            </w:pPr>
            <w:r>
              <w:rPr>
                <w:rFonts w:hint="eastAsia" w:ascii="宋体" w:hAnsi="宋体" w:cs="宋体"/>
                <w:color w:val="0000FF"/>
                <w:szCs w:val="21"/>
              </w:rPr>
              <w:t>…</w:t>
            </w:r>
          </w:p>
        </w:tc>
        <w:tc>
          <w:tcPr>
            <w:tcW w:w="1270" w:type="dxa"/>
            <w:tcBorders>
              <w:top w:val="single" w:color="auto" w:sz="4" w:space="0"/>
              <w:left w:val="single" w:color="auto" w:sz="4" w:space="0"/>
              <w:bottom w:val="single" w:color="auto" w:sz="4" w:space="0"/>
              <w:right w:val="single" w:color="auto" w:sz="4" w:space="0"/>
            </w:tcBorders>
            <w:vAlign w:val="center"/>
          </w:tcPr>
          <w:p w14:paraId="4ACBC14B">
            <w:pPr>
              <w:spacing w:line="300" w:lineRule="exact"/>
              <w:jc w:val="center"/>
              <w:rPr>
                <w:rFonts w:ascii="宋体" w:hAnsi="宋体" w:cs="宋体"/>
                <w:szCs w:val="21"/>
              </w:rPr>
            </w:pPr>
            <w:r>
              <w:rPr>
                <w:rFonts w:hint="eastAsia" w:ascii="宋体" w:hAnsi="宋体" w:cs="宋体"/>
                <w:color w:val="0000FF"/>
                <w:szCs w:val="21"/>
              </w:rPr>
              <w:t>…</w:t>
            </w:r>
          </w:p>
        </w:tc>
        <w:tc>
          <w:tcPr>
            <w:tcW w:w="2769" w:type="dxa"/>
            <w:vMerge w:val="continue"/>
            <w:tcBorders>
              <w:left w:val="single" w:color="auto" w:sz="4" w:space="0"/>
              <w:right w:val="single" w:color="auto" w:sz="4" w:space="0"/>
            </w:tcBorders>
            <w:vAlign w:val="center"/>
          </w:tcPr>
          <w:p w14:paraId="642678AB">
            <w:pPr>
              <w:rPr>
                <w:rFonts w:ascii="宋体" w:hAnsi="宋体" w:cs="宋体"/>
                <w:szCs w:val="21"/>
              </w:rPr>
            </w:pPr>
          </w:p>
        </w:tc>
      </w:tr>
      <w:tr w14:paraId="509D5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4E96549A">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6588472D">
            <w:pPr>
              <w:rPr>
                <w:rFonts w:ascii="宋体" w:hAnsi="宋体" w:cs="宋体"/>
                <w:szCs w:val="21"/>
              </w:rPr>
            </w:pPr>
          </w:p>
        </w:tc>
        <w:tc>
          <w:tcPr>
            <w:tcW w:w="1096" w:type="dxa"/>
            <w:vMerge w:val="continue"/>
            <w:tcBorders>
              <w:left w:val="single" w:color="auto" w:sz="4" w:space="0"/>
              <w:right w:val="single" w:color="auto" w:sz="4" w:space="0"/>
            </w:tcBorders>
            <w:vAlign w:val="center"/>
          </w:tcPr>
          <w:p w14:paraId="69681B83">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4669996D">
            <w:pPr>
              <w:spacing w:line="300" w:lineRule="exact"/>
              <w:jc w:val="center"/>
              <w:rPr>
                <w:rFonts w:ascii="宋体" w:hAnsi="宋体" w:cs="宋体"/>
                <w:szCs w:val="21"/>
              </w:rPr>
            </w:pPr>
            <w:r>
              <w:rPr>
                <w:rFonts w:hint="eastAsia" w:ascii="宋体" w:hAnsi="宋体" w:cs="宋体"/>
                <w:color w:val="0000FF"/>
                <w:szCs w:val="21"/>
              </w:rPr>
              <w:t>名称（非自然人）</w:t>
            </w: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60D83C32">
            <w:pPr>
              <w:spacing w:line="300" w:lineRule="exact"/>
              <w:jc w:val="center"/>
              <w:rPr>
                <w:rFonts w:ascii="宋体" w:hAnsi="宋体" w:cs="宋体"/>
                <w:szCs w:val="21"/>
              </w:rPr>
            </w:pPr>
            <w:r>
              <w:rPr>
                <w:rFonts w:hint="eastAsia" w:ascii="宋体" w:hAnsi="宋体" w:cs="宋体"/>
                <w:color w:val="0000FF"/>
                <w:szCs w:val="21"/>
              </w:rPr>
              <w:t>出资比例（%）</w:t>
            </w:r>
          </w:p>
        </w:tc>
        <w:tc>
          <w:tcPr>
            <w:tcW w:w="2769" w:type="dxa"/>
            <w:vMerge w:val="continue"/>
            <w:tcBorders>
              <w:left w:val="single" w:color="auto" w:sz="4" w:space="0"/>
              <w:right w:val="single" w:color="auto" w:sz="4" w:space="0"/>
            </w:tcBorders>
            <w:vAlign w:val="center"/>
          </w:tcPr>
          <w:p w14:paraId="37D8C6F4">
            <w:pPr>
              <w:rPr>
                <w:rFonts w:ascii="宋体" w:hAnsi="宋体" w:cs="宋体"/>
                <w:szCs w:val="21"/>
              </w:rPr>
            </w:pPr>
          </w:p>
        </w:tc>
      </w:tr>
      <w:tr w14:paraId="52FB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right w:val="single" w:color="auto" w:sz="4" w:space="0"/>
            </w:tcBorders>
            <w:vAlign w:val="center"/>
          </w:tcPr>
          <w:p w14:paraId="72FC6669">
            <w:pPr>
              <w:rPr>
                <w:rFonts w:ascii="宋体" w:hAnsi="宋体" w:cs="宋体"/>
                <w:szCs w:val="21"/>
              </w:rPr>
            </w:pPr>
          </w:p>
        </w:tc>
        <w:tc>
          <w:tcPr>
            <w:tcW w:w="1554" w:type="dxa"/>
            <w:gridSpan w:val="2"/>
            <w:vMerge w:val="continue"/>
            <w:tcBorders>
              <w:left w:val="single" w:color="auto" w:sz="4" w:space="0"/>
              <w:right w:val="single" w:color="auto" w:sz="4" w:space="0"/>
            </w:tcBorders>
            <w:vAlign w:val="center"/>
          </w:tcPr>
          <w:p w14:paraId="1F466591">
            <w:pPr>
              <w:rPr>
                <w:rFonts w:ascii="宋体" w:hAnsi="宋体" w:cs="宋体"/>
                <w:szCs w:val="21"/>
              </w:rPr>
            </w:pPr>
          </w:p>
        </w:tc>
        <w:tc>
          <w:tcPr>
            <w:tcW w:w="1096" w:type="dxa"/>
            <w:vMerge w:val="continue"/>
            <w:tcBorders>
              <w:left w:val="single" w:color="auto" w:sz="4" w:space="0"/>
              <w:right w:val="single" w:color="auto" w:sz="4" w:space="0"/>
            </w:tcBorders>
            <w:vAlign w:val="center"/>
          </w:tcPr>
          <w:p w14:paraId="40CBDC5C">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1D710F0B">
            <w:pPr>
              <w:spacing w:line="300" w:lineRule="exact"/>
              <w:ind w:firstLine="420"/>
              <w:jc w:val="center"/>
              <w:rPr>
                <w:rFonts w:ascii="宋体" w:hAnsi="宋体" w:cs="宋体"/>
                <w:szCs w:val="21"/>
              </w:rPr>
            </w:pP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3DE27F99">
            <w:pPr>
              <w:spacing w:line="300" w:lineRule="exact"/>
              <w:ind w:firstLine="420"/>
              <w:jc w:val="center"/>
              <w:rPr>
                <w:rFonts w:ascii="宋体" w:hAnsi="宋体" w:cs="宋体"/>
                <w:szCs w:val="21"/>
              </w:rPr>
            </w:pPr>
          </w:p>
        </w:tc>
        <w:tc>
          <w:tcPr>
            <w:tcW w:w="2769" w:type="dxa"/>
            <w:vMerge w:val="continue"/>
            <w:tcBorders>
              <w:left w:val="single" w:color="auto" w:sz="4" w:space="0"/>
              <w:right w:val="single" w:color="auto" w:sz="4" w:space="0"/>
            </w:tcBorders>
            <w:vAlign w:val="center"/>
          </w:tcPr>
          <w:p w14:paraId="109A2D3B">
            <w:pPr>
              <w:rPr>
                <w:rFonts w:ascii="宋体" w:hAnsi="宋体" w:cs="宋体"/>
                <w:szCs w:val="21"/>
              </w:rPr>
            </w:pPr>
          </w:p>
        </w:tc>
      </w:tr>
      <w:tr w14:paraId="53DA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527" w:type="dxa"/>
            <w:vMerge w:val="continue"/>
            <w:tcBorders>
              <w:left w:val="single" w:color="auto" w:sz="4" w:space="0"/>
              <w:bottom w:val="single" w:color="auto" w:sz="4" w:space="0"/>
              <w:right w:val="single" w:color="auto" w:sz="4" w:space="0"/>
            </w:tcBorders>
            <w:vAlign w:val="center"/>
          </w:tcPr>
          <w:p w14:paraId="512514C7">
            <w:pPr>
              <w:rPr>
                <w:rFonts w:ascii="宋体" w:hAnsi="宋体" w:cs="宋体"/>
                <w:szCs w:val="21"/>
              </w:rPr>
            </w:pPr>
          </w:p>
        </w:tc>
        <w:tc>
          <w:tcPr>
            <w:tcW w:w="1554" w:type="dxa"/>
            <w:gridSpan w:val="2"/>
            <w:vMerge w:val="continue"/>
            <w:tcBorders>
              <w:left w:val="single" w:color="auto" w:sz="4" w:space="0"/>
              <w:bottom w:val="single" w:color="auto" w:sz="4" w:space="0"/>
              <w:right w:val="single" w:color="auto" w:sz="4" w:space="0"/>
            </w:tcBorders>
            <w:vAlign w:val="center"/>
          </w:tcPr>
          <w:p w14:paraId="3F2C0ADE">
            <w:pPr>
              <w:rPr>
                <w:rFonts w:ascii="宋体" w:hAnsi="宋体" w:cs="宋体"/>
                <w:szCs w:val="21"/>
              </w:rPr>
            </w:pPr>
          </w:p>
        </w:tc>
        <w:tc>
          <w:tcPr>
            <w:tcW w:w="1096" w:type="dxa"/>
            <w:vMerge w:val="continue"/>
            <w:tcBorders>
              <w:left w:val="single" w:color="auto" w:sz="4" w:space="0"/>
              <w:bottom w:val="single" w:color="auto" w:sz="4" w:space="0"/>
              <w:right w:val="single" w:color="auto" w:sz="4" w:space="0"/>
            </w:tcBorders>
            <w:vAlign w:val="center"/>
          </w:tcPr>
          <w:p w14:paraId="3DB0929E">
            <w:pPr>
              <w:rPr>
                <w:rFonts w:ascii="宋体" w:hAnsi="宋体" w:cs="宋体"/>
                <w:szCs w:val="21"/>
              </w:rPr>
            </w:pPr>
          </w:p>
        </w:tc>
        <w:tc>
          <w:tcPr>
            <w:tcW w:w="1029" w:type="dxa"/>
            <w:tcBorders>
              <w:top w:val="single" w:color="auto" w:sz="4" w:space="0"/>
              <w:left w:val="single" w:color="auto" w:sz="4" w:space="0"/>
              <w:bottom w:val="single" w:color="auto" w:sz="4" w:space="0"/>
              <w:right w:val="single" w:color="auto" w:sz="4" w:space="0"/>
            </w:tcBorders>
            <w:vAlign w:val="center"/>
          </w:tcPr>
          <w:p w14:paraId="5195FB0A">
            <w:pPr>
              <w:spacing w:line="300" w:lineRule="exact"/>
              <w:jc w:val="center"/>
              <w:rPr>
                <w:rFonts w:ascii="宋体" w:hAnsi="宋体" w:cs="宋体"/>
                <w:szCs w:val="21"/>
              </w:rPr>
            </w:pPr>
            <w:r>
              <w:rPr>
                <w:rFonts w:hint="eastAsia" w:ascii="宋体" w:hAnsi="宋体" w:cs="宋体"/>
                <w:color w:val="0000FF"/>
                <w:szCs w:val="21"/>
              </w:rPr>
              <w:t>…</w:t>
            </w:r>
          </w:p>
        </w:tc>
        <w:tc>
          <w:tcPr>
            <w:tcW w:w="2935" w:type="dxa"/>
            <w:gridSpan w:val="3"/>
            <w:tcBorders>
              <w:top w:val="single" w:color="auto" w:sz="4" w:space="0"/>
              <w:left w:val="single" w:color="auto" w:sz="4" w:space="0"/>
              <w:bottom w:val="single" w:color="auto" w:sz="4" w:space="0"/>
              <w:right w:val="single" w:color="auto" w:sz="4" w:space="0"/>
            </w:tcBorders>
            <w:vAlign w:val="center"/>
          </w:tcPr>
          <w:p w14:paraId="530C1B6D">
            <w:pPr>
              <w:spacing w:line="300" w:lineRule="exact"/>
              <w:jc w:val="center"/>
              <w:rPr>
                <w:rFonts w:ascii="宋体" w:hAnsi="宋体" w:cs="宋体"/>
                <w:szCs w:val="21"/>
              </w:rPr>
            </w:pPr>
            <w:r>
              <w:rPr>
                <w:rFonts w:hint="eastAsia" w:ascii="宋体" w:hAnsi="宋体" w:cs="宋体"/>
                <w:color w:val="0000FF"/>
                <w:szCs w:val="21"/>
              </w:rPr>
              <w:t>…</w:t>
            </w:r>
          </w:p>
        </w:tc>
        <w:tc>
          <w:tcPr>
            <w:tcW w:w="2769" w:type="dxa"/>
            <w:vMerge w:val="continue"/>
            <w:tcBorders>
              <w:left w:val="single" w:color="auto" w:sz="4" w:space="0"/>
              <w:bottom w:val="single" w:color="auto" w:sz="4" w:space="0"/>
              <w:right w:val="single" w:color="auto" w:sz="4" w:space="0"/>
            </w:tcBorders>
            <w:vAlign w:val="center"/>
          </w:tcPr>
          <w:p w14:paraId="522CDF81">
            <w:pPr>
              <w:rPr>
                <w:rFonts w:ascii="宋体" w:hAnsi="宋体" w:cs="宋体"/>
                <w:szCs w:val="21"/>
              </w:rPr>
            </w:pPr>
          </w:p>
        </w:tc>
      </w:tr>
      <w:tr w14:paraId="3271F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tcBorders>
              <w:top w:val="single" w:color="auto" w:sz="4" w:space="0"/>
              <w:left w:val="single" w:color="auto" w:sz="4" w:space="0"/>
              <w:bottom w:val="single" w:color="auto" w:sz="4" w:space="0"/>
              <w:right w:val="single" w:color="auto" w:sz="4" w:space="0"/>
            </w:tcBorders>
            <w:vAlign w:val="center"/>
          </w:tcPr>
          <w:p w14:paraId="31D6D4D7">
            <w:pPr>
              <w:jc w:val="center"/>
              <w:rPr>
                <w:rFonts w:ascii="宋体" w:hAnsi="宋体" w:cs="宋体"/>
                <w:szCs w:val="21"/>
              </w:rPr>
            </w:pPr>
            <w:r>
              <w:rPr>
                <w:rFonts w:hint="eastAsia" w:ascii="宋体" w:hAnsi="宋体" w:cs="宋体"/>
                <w:szCs w:val="21"/>
              </w:rPr>
              <w:t>2</w:t>
            </w:r>
          </w:p>
        </w:tc>
        <w:tc>
          <w:tcPr>
            <w:tcW w:w="1554" w:type="dxa"/>
            <w:gridSpan w:val="2"/>
            <w:tcBorders>
              <w:top w:val="single" w:color="auto" w:sz="4" w:space="0"/>
              <w:left w:val="single" w:color="auto" w:sz="4" w:space="0"/>
              <w:bottom w:val="single" w:color="auto" w:sz="4" w:space="0"/>
              <w:right w:val="single" w:color="auto" w:sz="4" w:space="0"/>
            </w:tcBorders>
            <w:vAlign w:val="center"/>
          </w:tcPr>
          <w:p w14:paraId="66224541">
            <w:pPr>
              <w:jc w:val="center"/>
              <w:rPr>
                <w:rFonts w:ascii="宋体" w:hAnsi="宋体" w:cs="宋体"/>
                <w:szCs w:val="21"/>
              </w:rPr>
            </w:pPr>
            <w:r>
              <w:rPr>
                <w:rFonts w:hint="eastAsia" w:ascii="宋体" w:hAnsi="宋体" w:cs="宋体"/>
                <w:szCs w:val="21"/>
              </w:rPr>
              <w:t>管理关系</w:t>
            </w:r>
          </w:p>
        </w:tc>
        <w:tc>
          <w:tcPr>
            <w:tcW w:w="5060" w:type="dxa"/>
            <w:gridSpan w:val="5"/>
            <w:tcBorders>
              <w:top w:val="single" w:color="auto" w:sz="4" w:space="0"/>
              <w:left w:val="single" w:color="auto" w:sz="4" w:space="0"/>
              <w:bottom w:val="single" w:color="auto" w:sz="4" w:space="0"/>
              <w:right w:val="single" w:color="auto" w:sz="4" w:space="0"/>
            </w:tcBorders>
            <w:vAlign w:val="center"/>
          </w:tcPr>
          <w:p w14:paraId="3BBEA4AA">
            <w:pPr>
              <w:snapToGrid w:val="0"/>
              <w:jc w:val="left"/>
              <w:rPr>
                <w:rFonts w:ascii="宋体" w:hAnsi="宋体" w:cs="宋体"/>
                <w:szCs w:val="21"/>
              </w:rPr>
            </w:pPr>
          </w:p>
        </w:tc>
        <w:tc>
          <w:tcPr>
            <w:tcW w:w="2769" w:type="dxa"/>
            <w:tcBorders>
              <w:top w:val="single" w:color="auto" w:sz="4" w:space="0"/>
              <w:left w:val="single" w:color="auto" w:sz="4" w:space="0"/>
              <w:bottom w:val="single" w:color="auto" w:sz="4" w:space="0"/>
              <w:right w:val="single" w:color="auto" w:sz="4" w:space="0"/>
            </w:tcBorders>
            <w:vAlign w:val="center"/>
          </w:tcPr>
          <w:p w14:paraId="4BAFEA03">
            <w:pPr>
              <w:spacing w:beforeLines="50"/>
              <w:rPr>
                <w:rFonts w:ascii="宋体" w:hAnsi="宋体" w:cs="宋体"/>
                <w:szCs w:val="21"/>
              </w:rPr>
            </w:pPr>
            <w:r>
              <w:rPr>
                <w:rFonts w:hint="eastAsia" w:ascii="宋体" w:hAnsi="宋体" w:cs="宋体"/>
                <w:b/>
                <w:bCs/>
                <w:szCs w:val="21"/>
              </w:rPr>
              <w:t>管理关系是指</w:t>
            </w:r>
            <w:r>
              <w:rPr>
                <w:rFonts w:hint="eastAsia" w:ascii="宋体" w:hAnsi="宋体" w:cs="宋体"/>
                <w:szCs w:val="21"/>
              </w:rPr>
              <w:t>对投标（响应）供应商不具有出资持股关系，但对其存在管理关系的主体。</w:t>
            </w:r>
          </w:p>
        </w:tc>
      </w:tr>
      <w:tr w14:paraId="5A6F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910" w:type="dxa"/>
            <w:gridSpan w:val="9"/>
            <w:tcBorders>
              <w:top w:val="single" w:color="auto" w:sz="4" w:space="0"/>
              <w:left w:val="single" w:color="auto" w:sz="4" w:space="0"/>
              <w:bottom w:val="single" w:color="auto" w:sz="4" w:space="0"/>
              <w:right w:val="single" w:color="auto" w:sz="4" w:space="0"/>
            </w:tcBorders>
            <w:vAlign w:val="center"/>
          </w:tcPr>
          <w:p w14:paraId="36E92D4D">
            <w:pPr>
              <w:snapToGrid w:val="0"/>
              <w:jc w:val="left"/>
              <w:rPr>
                <w:rFonts w:ascii="宋体" w:hAnsi="宋体" w:cs="宋体"/>
                <w:b/>
                <w:bCs/>
                <w:szCs w:val="21"/>
              </w:rPr>
            </w:pPr>
            <w:r>
              <w:rPr>
                <w:rFonts w:hint="eastAsia" w:ascii="宋体" w:hAnsi="宋体" w:cs="宋体"/>
                <w:b/>
                <w:bCs/>
                <w:szCs w:val="21"/>
              </w:rPr>
              <w:t>说明：同一关联关系类型有多个主体的，应分行填写，</w:t>
            </w:r>
            <w:r>
              <w:rPr>
                <w:rFonts w:hint="eastAsia" w:ascii="宋体" w:hAnsi="宋体" w:cs="宋体"/>
                <w:szCs w:val="21"/>
              </w:rPr>
              <w:t>供应商可自行增加或删减表格</w:t>
            </w:r>
            <w:r>
              <w:rPr>
                <w:rFonts w:hint="eastAsia" w:ascii="宋体" w:hAnsi="宋体" w:cs="宋体"/>
                <w:b/>
                <w:bCs/>
                <w:szCs w:val="21"/>
              </w:rPr>
              <w:t>。</w:t>
            </w:r>
            <w:r>
              <w:rPr>
                <w:rFonts w:hint="eastAsia" w:ascii="宋体" w:hAnsi="宋体" w:cs="宋体"/>
                <w:szCs w:val="21"/>
              </w:rPr>
              <w:t>请根据右侧</w:t>
            </w:r>
            <w:r>
              <w:rPr>
                <w:rFonts w:hint="eastAsia" w:ascii="宋体" w:hAnsi="宋体" w:cs="宋体"/>
                <w:b/>
                <w:bCs/>
                <w:color w:val="FF0000"/>
                <w:szCs w:val="21"/>
              </w:rPr>
              <w:t>重要说明</w:t>
            </w:r>
            <w:r>
              <w:rPr>
                <w:rFonts w:hint="eastAsia" w:ascii="宋体" w:hAnsi="宋体" w:cs="宋体"/>
                <w:szCs w:val="21"/>
              </w:rPr>
              <w:t>认真填写对应内容。</w:t>
            </w:r>
          </w:p>
        </w:tc>
      </w:tr>
    </w:tbl>
    <w:p w14:paraId="40CF7832">
      <w:pPr>
        <w:spacing w:line="360" w:lineRule="auto"/>
        <w:rPr>
          <w:rFonts w:ascii="宋体" w:hAnsi="宋体" w:cs="宋体"/>
          <w:szCs w:val="21"/>
        </w:rPr>
      </w:pPr>
      <w:r>
        <w:rPr>
          <w:rFonts w:hint="eastAsia" w:ascii="宋体" w:hAnsi="宋体" w:cs="宋体"/>
          <w:b/>
          <w:szCs w:val="21"/>
        </w:rPr>
        <w:t>注</w:t>
      </w:r>
      <w:r>
        <w:rPr>
          <w:rFonts w:hint="eastAsia" w:ascii="宋体" w:hAnsi="宋体" w:cs="宋体"/>
          <w:szCs w:val="21"/>
        </w:rPr>
        <w:t>：</w:t>
      </w:r>
    </w:p>
    <w:p w14:paraId="34343C7B">
      <w:pPr>
        <w:spacing w:line="360" w:lineRule="auto"/>
        <w:rPr>
          <w:rFonts w:ascii="宋体" w:hAnsi="宋体" w:cs="宋体"/>
          <w:szCs w:val="21"/>
        </w:rPr>
      </w:pPr>
      <w:r>
        <w:rPr>
          <w:rFonts w:hint="eastAsia" w:ascii="宋体" w:hAnsi="宋体" w:cs="宋体"/>
          <w:szCs w:val="21"/>
        </w:rPr>
        <w:t>1.①如属于退休人员或依法不需要缴纳社会保险的，请在“缴纳社会保险单位”栏如实填写说明；</w:t>
      </w:r>
    </w:p>
    <w:p w14:paraId="48902738">
      <w:pPr>
        <w:spacing w:line="360" w:lineRule="auto"/>
        <w:rPr>
          <w:rFonts w:ascii="宋体" w:hAnsi="宋体" w:cs="宋体"/>
          <w:szCs w:val="21"/>
        </w:rPr>
      </w:pPr>
      <w:r>
        <w:rPr>
          <w:rFonts w:hint="eastAsia" w:ascii="宋体" w:hAnsi="宋体" w:cs="宋体"/>
          <w:szCs w:val="21"/>
        </w:rPr>
        <w:t>②如相关人员的社会保险未由投标人缴纳，亦需在“缴纳社会保险单位”栏如实填写为其缴纳社会保险的单位名称，并提供社保缴纳凭证。</w:t>
      </w:r>
    </w:p>
    <w:p w14:paraId="3B1513F6">
      <w:pPr>
        <w:spacing w:line="360" w:lineRule="auto"/>
        <w:rPr>
          <w:rFonts w:ascii="宋体" w:hAnsi="宋体" w:cs="宋体"/>
          <w:szCs w:val="21"/>
        </w:rPr>
      </w:pPr>
      <w:r>
        <w:rPr>
          <w:rFonts w:hint="eastAsia" w:ascii="宋体" w:hAnsi="宋体" w:cs="宋体"/>
          <w:szCs w:val="21"/>
        </w:rPr>
        <w:t>③“项目负责人”“主要技术人员”缴纳社保单位必须为投标（响应）供应商；</w:t>
      </w:r>
    </w:p>
    <w:p w14:paraId="4832889A">
      <w:pPr>
        <w:spacing w:line="360" w:lineRule="auto"/>
        <w:rPr>
          <w:rFonts w:ascii="宋体" w:hAnsi="宋体" w:cs="宋体"/>
          <w:szCs w:val="21"/>
        </w:rPr>
      </w:pPr>
      <w:r>
        <w:rPr>
          <w:rFonts w:hint="eastAsia" w:ascii="宋体" w:hAnsi="宋体" w:cs="宋体"/>
          <w:szCs w:val="21"/>
        </w:rPr>
        <w:t>④“法定代表人/单位负责人/主要经营负责人”“项目投标授权代表人”“投标文件编制人员”可以不在投标（响应）供应商单位缴纳社保，但不得是同项目下其他供应商员工。</w:t>
      </w:r>
    </w:p>
    <w:p w14:paraId="084F1418">
      <w:pPr>
        <w:spacing w:line="360" w:lineRule="auto"/>
        <w:rPr>
          <w:rFonts w:ascii="宋体" w:hAnsi="宋体" w:cs="宋体"/>
          <w:color w:val="FF0000"/>
          <w:szCs w:val="21"/>
        </w:rPr>
      </w:pPr>
      <w:r>
        <w:rPr>
          <w:rFonts w:hint="eastAsia" w:ascii="宋体" w:hAnsi="宋体" w:cs="宋体"/>
          <w:szCs w:val="21"/>
        </w:rPr>
        <w:fldChar w:fldCharType="begin"/>
      </w:r>
      <w:r>
        <w:rPr>
          <w:rFonts w:hint="eastAsia" w:ascii="宋体" w:hAnsi="宋体" w:cs="宋体"/>
          <w:szCs w:val="21"/>
        </w:rPr>
        <w:instrText xml:space="preserve"> = 5 \* GB3 \* MERGEFORMAT </w:instrText>
      </w:r>
      <w:r>
        <w:rPr>
          <w:rFonts w:hint="eastAsia" w:ascii="宋体" w:hAnsi="宋体" w:cs="宋体"/>
          <w:szCs w:val="21"/>
        </w:rPr>
        <w:fldChar w:fldCharType="separate"/>
      </w:r>
      <w:r>
        <w:rPr>
          <w:rFonts w:hint="eastAsia" w:ascii="宋体" w:hAnsi="宋体" w:cs="宋体"/>
          <w:szCs w:val="21"/>
        </w:rPr>
        <w:t>⑤</w:t>
      </w:r>
      <w:r>
        <w:rPr>
          <w:rFonts w:hint="eastAsia" w:ascii="宋体" w:hAnsi="宋体" w:cs="宋体"/>
          <w:szCs w:val="21"/>
        </w:rPr>
        <w:fldChar w:fldCharType="end"/>
      </w:r>
      <w:r>
        <w:rPr>
          <w:rFonts w:hint="eastAsia" w:ascii="宋体" w:hAnsi="宋体" w:cs="宋体"/>
          <w:szCs w:val="21"/>
        </w:rPr>
        <w:t>没有相关情况，请在相应栏填写“无”。</w:t>
      </w:r>
      <w:r>
        <w:rPr>
          <w:rFonts w:hint="eastAsia" w:ascii="宋体" w:hAnsi="宋体" w:cs="宋体"/>
          <w:color w:val="FF0000"/>
          <w:szCs w:val="21"/>
        </w:rPr>
        <w:t>“法定代表人/单位负责人/主要经营负责人”及“投标文件编制人员”必须填写相关信息。</w:t>
      </w:r>
    </w:p>
    <w:p w14:paraId="3ED76146">
      <w:pPr>
        <w:spacing w:line="360" w:lineRule="auto"/>
        <w:rPr>
          <w:rFonts w:ascii="宋体" w:hAnsi="宋体" w:cs="宋体"/>
          <w:szCs w:val="21"/>
          <w:u w:val="double"/>
        </w:rPr>
      </w:pPr>
      <w:r>
        <w:rPr>
          <w:rFonts w:hint="eastAsia" w:ascii="宋体" w:hAnsi="宋体" w:cs="宋体"/>
          <w:szCs w:val="21"/>
        </w:rPr>
        <w:t>2.投标人应如实填写本单位上表中有关信息，如存在隐瞒真实情况，提供虚假资料的，经查实，主管部门将依据政府采购相关规定进行处罚。</w:t>
      </w:r>
    </w:p>
    <w:p w14:paraId="3222A438">
      <w:pPr>
        <w:spacing w:line="360" w:lineRule="auto"/>
        <w:rPr>
          <w:rFonts w:ascii="宋体" w:hAnsi="宋体" w:cs="宋体"/>
          <w:b/>
          <w:bCs/>
          <w:szCs w:val="21"/>
        </w:rPr>
      </w:pPr>
      <w:r>
        <w:rPr>
          <w:rFonts w:hint="eastAsia" w:ascii="宋体" w:hAnsi="宋体" w:cs="宋体"/>
          <w:b/>
          <w:bCs/>
          <w:szCs w:val="21"/>
        </w:rPr>
        <w:t>3.如是联合体投标的，需提供</w:t>
      </w:r>
      <w:r>
        <w:rPr>
          <w:rFonts w:hint="eastAsia" w:ascii="宋体" w:hAnsi="宋体" w:cs="宋体"/>
          <w:b/>
          <w:bCs/>
          <w:color w:val="FF0000"/>
          <w:szCs w:val="21"/>
        </w:rPr>
        <w:t>联合体</w:t>
      </w:r>
      <w:r>
        <w:rPr>
          <w:rFonts w:hint="eastAsia" w:ascii="宋体" w:hAnsi="宋体" w:cs="宋体"/>
          <w:b/>
          <w:bCs/>
          <w:szCs w:val="21"/>
        </w:rPr>
        <w:t>各方的</w:t>
      </w:r>
      <w:r>
        <w:rPr>
          <w:rFonts w:hint="eastAsia" w:ascii="宋体" w:hAnsi="宋体" w:cs="宋体"/>
          <w:b/>
          <w:bCs/>
          <w:color w:val="FF0000"/>
          <w:szCs w:val="21"/>
        </w:rPr>
        <w:t>供应商基本情况表</w:t>
      </w:r>
      <w:r>
        <w:rPr>
          <w:rFonts w:hint="eastAsia" w:ascii="宋体" w:hAnsi="宋体" w:cs="宋体"/>
          <w:b/>
          <w:bCs/>
          <w:szCs w:val="21"/>
        </w:rPr>
        <w:t>。</w:t>
      </w:r>
    </w:p>
    <w:p w14:paraId="754D842D">
      <w:pPr>
        <w:pStyle w:val="27"/>
        <w:adjustRightInd w:val="0"/>
        <w:snapToGrid w:val="0"/>
        <w:spacing w:line="360" w:lineRule="auto"/>
        <w:ind w:firstLine="420"/>
        <w:rPr>
          <w:rFonts w:hAnsi="宋体" w:cs="宋体"/>
          <w:szCs w:val="21"/>
        </w:rPr>
      </w:pPr>
    </w:p>
    <w:p w14:paraId="39346650">
      <w:pPr>
        <w:pStyle w:val="27"/>
        <w:adjustRightInd w:val="0"/>
        <w:snapToGrid w:val="0"/>
        <w:spacing w:line="360" w:lineRule="auto"/>
        <w:ind w:firstLine="420"/>
        <w:rPr>
          <w:rFonts w:hAnsi="宋体" w:cs="宋体"/>
          <w:color w:val="000000"/>
          <w:kern w:val="0"/>
          <w:szCs w:val="21"/>
        </w:rPr>
      </w:pPr>
      <w:r>
        <w:rPr>
          <w:rFonts w:hint="eastAsia" w:hAnsi="宋体" w:cs="宋体"/>
          <w:szCs w:val="21"/>
        </w:rPr>
        <w:t>请提供上述人员</w:t>
      </w:r>
      <w:r>
        <w:rPr>
          <w:rFonts w:hint="eastAsia" w:hAnsi="宋体" w:cs="宋体"/>
          <w:color w:val="000000"/>
          <w:kern w:val="0"/>
          <w:szCs w:val="21"/>
        </w:rPr>
        <w:t>近一个月社保缴纳凭证（</w:t>
      </w:r>
      <w:r>
        <w:rPr>
          <w:rFonts w:hint="eastAsia" w:hAnsi="宋体" w:cs="宋体"/>
          <w:szCs w:val="21"/>
        </w:rPr>
        <w:t>如缴纳社会保险的单位为新成立企业且成立时间不足一个月可提供加盖投标（响应）供应商公章的情况说明或者</w:t>
      </w:r>
      <w:r>
        <w:rPr>
          <w:rFonts w:hint="eastAsia" w:hAnsi="宋体" w:cs="宋体"/>
          <w:color w:val="000000"/>
          <w:kern w:val="0"/>
          <w:szCs w:val="21"/>
        </w:rPr>
        <w:t>其他证明材料亦视为符合；如依法不需要缴纳社会保险费的，应提供相应文件证明其依法不需要缴纳社会保险）。</w:t>
      </w:r>
    </w:p>
    <w:p w14:paraId="4B3729DB">
      <w:pPr>
        <w:snapToGrid w:val="0"/>
        <w:spacing w:line="360" w:lineRule="auto"/>
        <w:rPr>
          <w:rFonts w:ascii="宋体" w:hAnsi="宋体" w:cs="宋体"/>
          <w:b/>
          <w:bCs/>
          <w:szCs w:val="21"/>
        </w:rPr>
      </w:pPr>
      <w:r>
        <w:rPr>
          <w:rFonts w:hint="eastAsia" w:ascii="宋体" w:hAnsi="宋体" w:cs="宋体"/>
          <w:b/>
          <w:bCs/>
          <w:szCs w:val="21"/>
        </w:rPr>
        <w:t>证明材料：</w:t>
      </w:r>
    </w:p>
    <w:p w14:paraId="6CAEB42C">
      <w:pPr>
        <w:snapToGrid w:val="0"/>
        <w:spacing w:line="360" w:lineRule="auto"/>
        <w:rPr>
          <w:rFonts w:ascii="宋体" w:hAnsi="宋体" w:cs="宋体"/>
          <w:b/>
          <w:bCs/>
          <w:szCs w:val="21"/>
        </w:rPr>
      </w:pPr>
      <w:r>
        <w:rPr>
          <w:rFonts w:hint="eastAsia" w:ascii="宋体" w:hAnsi="宋体" w:cs="宋体"/>
          <w:b/>
          <w:bCs/>
          <w:szCs w:val="21"/>
        </w:rPr>
        <w:t>1、法定代表人/单位负责人/主要经营负责人</w:t>
      </w:r>
    </w:p>
    <w:p w14:paraId="39E26B6B">
      <w:pPr>
        <w:snapToGrid w:val="0"/>
        <w:spacing w:line="360" w:lineRule="auto"/>
        <w:rPr>
          <w:rFonts w:ascii="宋体" w:hAnsi="宋体" w:cs="宋体"/>
          <w:b/>
          <w:bCs/>
          <w:szCs w:val="21"/>
        </w:rPr>
      </w:pPr>
      <w:r>
        <w:rPr>
          <w:rFonts w:hint="eastAsia" w:ascii="宋体" w:hAnsi="宋体" w:cs="宋体"/>
          <w:b/>
          <w:bCs/>
          <w:szCs w:val="21"/>
        </w:rPr>
        <w:t>近一个月的社保缴纳凭证：</w:t>
      </w:r>
    </w:p>
    <w:p w14:paraId="120F61AA">
      <w:pPr>
        <w:pStyle w:val="7"/>
        <w:spacing w:line="360" w:lineRule="auto"/>
        <w:ind w:firstLine="422"/>
        <w:rPr>
          <w:rFonts w:ascii="宋体" w:hAnsi="宋体" w:cs="宋体"/>
          <w:b/>
          <w:bCs/>
          <w:szCs w:val="21"/>
        </w:rPr>
      </w:pPr>
    </w:p>
    <w:p w14:paraId="5A4E8657">
      <w:pPr>
        <w:pStyle w:val="7"/>
        <w:spacing w:line="360" w:lineRule="auto"/>
        <w:ind w:firstLine="422"/>
        <w:rPr>
          <w:rFonts w:ascii="宋体" w:hAnsi="宋体" w:cs="宋体"/>
          <w:b/>
          <w:bCs/>
          <w:szCs w:val="21"/>
        </w:rPr>
      </w:pPr>
    </w:p>
    <w:p w14:paraId="5E9574A2">
      <w:pPr>
        <w:snapToGrid w:val="0"/>
        <w:spacing w:line="360" w:lineRule="auto"/>
        <w:rPr>
          <w:rFonts w:ascii="宋体" w:hAnsi="宋体" w:cs="宋体"/>
          <w:b/>
          <w:bCs/>
          <w:szCs w:val="21"/>
        </w:rPr>
      </w:pPr>
      <w:r>
        <w:rPr>
          <w:rFonts w:hint="eastAsia" w:ascii="宋体" w:hAnsi="宋体" w:cs="宋体"/>
          <w:b/>
          <w:bCs/>
          <w:szCs w:val="21"/>
        </w:rPr>
        <w:t>2、项目投标授权代表人（如有）</w:t>
      </w:r>
    </w:p>
    <w:p w14:paraId="51DB963B">
      <w:pPr>
        <w:snapToGrid w:val="0"/>
        <w:spacing w:line="360" w:lineRule="auto"/>
        <w:rPr>
          <w:rFonts w:ascii="宋体" w:hAnsi="宋体" w:cs="宋体"/>
          <w:b/>
          <w:bCs/>
          <w:szCs w:val="21"/>
        </w:rPr>
      </w:pPr>
      <w:r>
        <w:rPr>
          <w:rFonts w:hint="eastAsia" w:ascii="宋体" w:hAnsi="宋体" w:cs="宋体"/>
          <w:b/>
          <w:bCs/>
          <w:szCs w:val="21"/>
        </w:rPr>
        <w:t>近一个月的社保缴纳凭证：</w:t>
      </w:r>
    </w:p>
    <w:p w14:paraId="172892E5">
      <w:pPr>
        <w:pStyle w:val="7"/>
        <w:spacing w:line="360" w:lineRule="auto"/>
        <w:ind w:firstLine="422"/>
        <w:rPr>
          <w:rFonts w:ascii="宋体" w:hAnsi="宋体" w:cs="宋体"/>
          <w:b/>
          <w:bCs/>
          <w:szCs w:val="21"/>
        </w:rPr>
      </w:pPr>
    </w:p>
    <w:p w14:paraId="5FC3BA5F">
      <w:pPr>
        <w:pStyle w:val="7"/>
        <w:spacing w:line="360" w:lineRule="auto"/>
        <w:ind w:firstLine="422"/>
        <w:rPr>
          <w:rFonts w:ascii="宋体" w:hAnsi="宋体" w:cs="宋体"/>
          <w:b/>
          <w:bCs/>
          <w:szCs w:val="21"/>
        </w:rPr>
      </w:pPr>
    </w:p>
    <w:p w14:paraId="0A9DE870">
      <w:pPr>
        <w:snapToGrid w:val="0"/>
        <w:spacing w:line="360" w:lineRule="auto"/>
        <w:rPr>
          <w:rFonts w:ascii="宋体" w:hAnsi="宋体" w:cs="宋体"/>
          <w:b/>
          <w:bCs/>
          <w:szCs w:val="21"/>
        </w:rPr>
      </w:pPr>
      <w:r>
        <w:rPr>
          <w:rFonts w:hint="eastAsia" w:ascii="宋体" w:hAnsi="宋体" w:cs="宋体"/>
          <w:b/>
          <w:bCs/>
          <w:szCs w:val="21"/>
        </w:rPr>
        <w:t>3、项目负责人（如有）</w:t>
      </w:r>
    </w:p>
    <w:p w14:paraId="7D869EA1">
      <w:pPr>
        <w:snapToGrid w:val="0"/>
        <w:spacing w:line="360" w:lineRule="auto"/>
        <w:rPr>
          <w:rFonts w:ascii="宋体" w:hAnsi="宋体" w:cs="宋体"/>
          <w:b/>
          <w:bCs/>
          <w:szCs w:val="21"/>
        </w:rPr>
      </w:pPr>
      <w:r>
        <w:rPr>
          <w:rFonts w:hint="eastAsia" w:ascii="宋体" w:hAnsi="宋体" w:cs="宋体"/>
          <w:b/>
          <w:bCs/>
          <w:szCs w:val="21"/>
        </w:rPr>
        <w:t>近一个月的社保缴纳凭证：</w:t>
      </w:r>
    </w:p>
    <w:p w14:paraId="5E54F008">
      <w:pPr>
        <w:pStyle w:val="7"/>
        <w:spacing w:line="360" w:lineRule="auto"/>
        <w:ind w:firstLine="422"/>
        <w:rPr>
          <w:rFonts w:ascii="宋体" w:hAnsi="宋体" w:cs="宋体"/>
          <w:b/>
          <w:bCs/>
          <w:szCs w:val="21"/>
        </w:rPr>
      </w:pPr>
    </w:p>
    <w:p w14:paraId="4D378513">
      <w:pPr>
        <w:pStyle w:val="7"/>
        <w:spacing w:line="360" w:lineRule="auto"/>
        <w:ind w:firstLine="422"/>
        <w:rPr>
          <w:rFonts w:ascii="宋体" w:hAnsi="宋体" w:cs="宋体"/>
          <w:b/>
          <w:bCs/>
          <w:szCs w:val="21"/>
        </w:rPr>
      </w:pPr>
    </w:p>
    <w:p w14:paraId="773F7499">
      <w:pPr>
        <w:snapToGrid w:val="0"/>
        <w:spacing w:line="360" w:lineRule="auto"/>
        <w:rPr>
          <w:rFonts w:ascii="宋体" w:hAnsi="宋体" w:cs="宋体"/>
          <w:b/>
          <w:bCs/>
          <w:szCs w:val="21"/>
        </w:rPr>
      </w:pPr>
      <w:r>
        <w:rPr>
          <w:rFonts w:hint="eastAsia" w:ascii="宋体" w:hAnsi="宋体" w:cs="宋体"/>
          <w:b/>
          <w:bCs/>
          <w:szCs w:val="21"/>
        </w:rPr>
        <w:t>4、主要技术人员（如有）</w:t>
      </w:r>
    </w:p>
    <w:p w14:paraId="348907BA">
      <w:pPr>
        <w:snapToGrid w:val="0"/>
        <w:spacing w:line="360" w:lineRule="auto"/>
        <w:rPr>
          <w:rFonts w:ascii="宋体" w:hAnsi="宋体" w:cs="宋体"/>
          <w:b/>
          <w:bCs/>
          <w:szCs w:val="21"/>
        </w:rPr>
      </w:pPr>
      <w:r>
        <w:rPr>
          <w:rFonts w:hint="eastAsia" w:ascii="宋体" w:hAnsi="宋体" w:cs="宋体"/>
          <w:b/>
          <w:bCs/>
          <w:szCs w:val="21"/>
        </w:rPr>
        <w:t>近一个月的社保缴纳凭证：</w:t>
      </w:r>
    </w:p>
    <w:p w14:paraId="72D28DE9">
      <w:pPr>
        <w:pStyle w:val="7"/>
        <w:spacing w:line="360" w:lineRule="auto"/>
        <w:ind w:firstLine="422"/>
        <w:rPr>
          <w:rFonts w:ascii="宋体" w:hAnsi="宋体" w:cs="宋体"/>
          <w:b/>
          <w:bCs/>
          <w:szCs w:val="21"/>
        </w:rPr>
      </w:pPr>
    </w:p>
    <w:p w14:paraId="09E04FB0">
      <w:pPr>
        <w:pStyle w:val="7"/>
        <w:spacing w:line="360" w:lineRule="auto"/>
        <w:ind w:firstLine="422"/>
        <w:rPr>
          <w:rFonts w:ascii="宋体" w:hAnsi="宋体" w:cs="宋体"/>
          <w:b/>
          <w:bCs/>
          <w:szCs w:val="21"/>
        </w:rPr>
      </w:pPr>
    </w:p>
    <w:p w14:paraId="4B25FFB6">
      <w:pPr>
        <w:snapToGrid w:val="0"/>
        <w:spacing w:line="360" w:lineRule="auto"/>
        <w:rPr>
          <w:rFonts w:ascii="宋体" w:hAnsi="宋体" w:cs="宋体"/>
          <w:b/>
          <w:bCs/>
          <w:szCs w:val="21"/>
        </w:rPr>
      </w:pPr>
      <w:r>
        <w:rPr>
          <w:rFonts w:hint="eastAsia" w:ascii="宋体" w:hAnsi="宋体" w:cs="宋体"/>
          <w:b/>
          <w:bCs/>
          <w:szCs w:val="21"/>
        </w:rPr>
        <w:t>5、投标文件编制人员</w:t>
      </w:r>
    </w:p>
    <w:p w14:paraId="5206C8B7">
      <w:pPr>
        <w:snapToGrid w:val="0"/>
        <w:spacing w:line="360" w:lineRule="auto"/>
        <w:rPr>
          <w:rFonts w:ascii="宋体" w:hAnsi="宋体" w:cs="宋体"/>
          <w:b/>
          <w:bCs/>
          <w:szCs w:val="21"/>
        </w:rPr>
      </w:pPr>
      <w:r>
        <w:rPr>
          <w:rFonts w:hint="eastAsia" w:ascii="宋体" w:hAnsi="宋体" w:cs="宋体"/>
          <w:b/>
          <w:bCs/>
          <w:szCs w:val="21"/>
        </w:rPr>
        <w:t>近一个月的社保缴纳凭证：</w:t>
      </w:r>
    </w:p>
    <w:p w14:paraId="54FA2459">
      <w:pPr>
        <w:pStyle w:val="105"/>
        <w:spacing w:line="360" w:lineRule="auto"/>
        <w:rPr>
          <w:rFonts w:ascii="宋体" w:hAnsi="宋体" w:eastAsia="宋体" w:cs="宋体"/>
          <w:sz w:val="21"/>
          <w:szCs w:val="21"/>
        </w:rPr>
      </w:pPr>
    </w:p>
    <w:p w14:paraId="3BB42FB6">
      <w:pPr>
        <w:pStyle w:val="27"/>
        <w:adjustRightInd w:val="0"/>
        <w:snapToGrid w:val="0"/>
        <w:spacing w:line="360" w:lineRule="auto"/>
        <w:ind w:firstLine="420"/>
        <w:rPr>
          <w:rFonts w:hAnsi="宋体" w:cs="宋体"/>
          <w:szCs w:val="21"/>
        </w:rPr>
      </w:pPr>
      <w:r>
        <w:rPr>
          <w:rFonts w:hint="eastAsia" w:hAnsi="宋体" w:cs="宋体"/>
          <w:szCs w:val="21"/>
        </w:rPr>
        <w:t>兹证明，上述说明属实，并已提供相应资料和数据，我方同意遵照贵方要求提供《供应商基本情况表》并出示有关证明文件。若因我方未按要求如实填写或提供上述资料，导致审核不通过或其他结果的，我方完全服从。</w:t>
      </w:r>
    </w:p>
    <w:p w14:paraId="1C71A4AB">
      <w:pPr>
        <w:wordWrap w:val="0"/>
        <w:adjustRightInd w:val="0"/>
        <w:snapToGrid w:val="0"/>
        <w:spacing w:line="360" w:lineRule="auto"/>
        <w:ind w:firstLine="5040" w:firstLineChars="2400"/>
        <w:jc w:val="right"/>
        <w:rPr>
          <w:rFonts w:ascii="宋体" w:hAnsi="宋体" w:cs="宋体"/>
          <w:szCs w:val="21"/>
        </w:rPr>
      </w:pPr>
    </w:p>
    <w:p w14:paraId="7138EE12">
      <w:pPr>
        <w:wordWrap w:val="0"/>
        <w:adjustRightInd w:val="0"/>
        <w:snapToGrid w:val="0"/>
        <w:spacing w:line="360" w:lineRule="auto"/>
        <w:ind w:firstLine="5040" w:firstLineChars="2400"/>
        <w:jc w:val="right"/>
        <w:rPr>
          <w:rFonts w:ascii="宋体" w:hAnsi="宋体" w:cs="宋体"/>
          <w:szCs w:val="21"/>
        </w:rPr>
      </w:pPr>
      <w:r>
        <w:rPr>
          <w:rFonts w:hint="eastAsia" w:ascii="宋体" w:hAnsi="宋体" w:cs="宋体"/>
          <w:szCs w:val="21"/>
        </w:rPr>
        <w:t xml:space="preserve">投标人（公章）：                             </w:t>
      </w:r>
    </w:p>
    <w:p w14:paraId="5E020EF8">
      <w:pPr>
        <w:adjustRightInd w:val="0"/>
        <w:snapToGrid w:val="0"/>
        <w:spacing w:line="360" w:lineRule="auto"/>
        <w:ind w:firstLine="4200" w:firstLineChars="2000"/>
        <w:jc w:val="left"/>
        <w:rPr>
          <w:rFonts w:ascii="宋体" w:hAnsi="宋体" w:cs="宋体"/>
          <w:szCs w:val="21"/>
        </w:rPr>
      </w:pPr>
      <w:r>
        <w:rPr>
          <w:rFonts w:hint="eastAsia" w:ascii="宋体" w:hAnsi="宋体" w:cs="宋体"/>
          <w:szCs w:val="21"/>
        </w:rPr>
        <w:t>法定代表人</w:t>
      </w:r>
      <w:r>
        <w:rPr>
          <w:rFonts w:hint="eastAsia" w:ascii="宋体" w:hAnsi="宋体" w:cs="宋体"/>
          <w:color w:val="000000"/>
          <w:kern w:val="0"/>
          <w:szCs w:val="21"/>
        </w:rPr>
        <w:t>（负责人）</w:t>
      </w:r>
      <w:r>
        <w:rPr>
          <w:rFonts w:hint="eastAsia" w:ascii="宋体" w:hAnsi="宋体" w:cs="宋体"/>
          <w:szCs w:val="21"/>
        </w:rPr>
        <w:t>或其授权代表签名：</w:t>
      </w:r>
    </w:p>
    <w:p w14:paraId="140A3923">
      <w:pPr>
        <w:adjustRightInd w:val="0"/>
        <w:snapToGrid w:val="0"/>
        <w:spacing w:line="360" w:lineRule="auto"/>
        <w:ind w:firstLine="5040" w:firstLineChars="2400"/>
        <w:jc w:val="left"/>
        <w:rPr>
          <w:rFonts w:ascii="宋体" w:hAnsi="宋体" w:cs="宋体"/>
          <w:szCs w:val="21"/>
        </w:rPr>
      </w:pPr>
      <w:r>
        <w:rPr>
          <w:rFonts w:hint="eastAsia" w:ascii="宋体" w:hAnsi="宋体" w:cs="宋体"/>
          <w:szCs w:val="21"/>
        </w:rPr>
        <w:t>日期：      年    月    日</w:t>
      </w:r>
    </w:p>
    <w:p w14:paraId="5E0C7010">
      <w:pPr>
        <w:rPr>
          <w:rFonts w:asciiTheme="minorEastAsia" w:hAnsiTheme="minorEastAsia" w:eastAsiaTheme="minorEastAsia"/>
        </w:rPr>
      </w:pPr>
      <w:r>
        <w:rPr>
          <w:rFonts w:hint="eastAsia" w:asciiTheme="minorEastAsia" w:hAnsiTheme="minorEastAsia" w:eastAsiaTheme="minorEastAsia"/>
        </w:rPr>
        <w:br w:type="page"/>
      </w:r>
    </w:p>
    <w:p w14:paraId="6802AC41">
      <w:pPr>
        <w:pStyle w:val="3"/>
        <w:tabs>
          <w:tab w:val="left" w:pos="371"/>
        </w:tabs>
        <w:spacing w:before="120" w:after="120"/>
        <w:ind w:left="-1" w:leftChars="-1" w:hanging="1"/>
        <w:jc w:val="center"/>
        <w:rPr>
          <w:rFonts w:asciiTheme="minorEastAsia" w:hAnsiTheme="minorEastAsia" w:eastAsiaTheme="minorEastAsia"/>
        </w:rPr>
      </w:pPr>
    </w:p>
    <w:p w14:paraId="43CEFA25">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49" w:name="_Toc9318"/>
      <w:r>
        <w:rPr>
          <w:rFonts w:hint="eastAsia" w:asciiTheme="minorEastAsia" w:hAnsiTheme="minorEastAsia" w:eastAsiaTheme="minorEastAsia"/>
        </w:rPr>
        <w:t>格式2  法定代表人（负责人）证明书及授权委托书</w:t>
      </w:r>
      <w:bookmarkEnd w:id="48"/>
      <w:bookmarkEnd w:id="49"/>
    </w:p>
    <w:p w14:paraId="63041EA9">
      <w:pPr>
        <w:adjustRightInd w:val="0"/>
        <w:snapToGrid w:val="0"/>
        <w:spacing w:line="300" w:lineRule="auto"/>
        <w:jc w:val="center"/>
        <w:rPr>
          <w:b/>
          <w:snapToGrid w:val="0"/>
          <w:sz w:val="32"/>
          <w:szCs w:val="32"/>
        </w:rPr>
      </w:pPr>
    </w:p>
    <w:p w14:paraId="6BE93FD6">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60BD4970">
      <w:pPr>
        <w:spacing w:line="400" w:lineRule="exact"/>
        <w:rPr>
          <w:rFonts w:ascii="宋体" w:hAnsi="宋体"/>
          <w:bCs/>
          <w:sz w:val="28"/>
        </w:rPr>
      </w:pPr>
    </w:p>
    <w:p w14:paraId="0A0FF3B7">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0793A07A">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3FB136EF">
      <w:pPr>
        <w:spacing w:line="480" w:lineRule="auto"/>
        <w:ind w:firstLine="420" w:firstLineChars="200"/>
        <w:rPr>
          <w:rFonts w:ascii="宋体" w:hAnsi="宋体"/>
        </w:rPr>
      </w:pPr>
      <w:r>
        <w:rPr>
          <w:rFonts w:hint="eastAsia" w:ascii="宋体" w:hAnsi="宋体"/>
        </w:rPr>
        <w:t>附：</w:t>
      </w:r>
    </w:p>
    <w:p w14:paraId="6D5417E2">
      <w:pPr>
        <w:spacing w:line="480" w:lineRule="auto"/>
        <w:ind w:firstLine="840" w:firstLineChars="400"/>
        <w:rPr>
          <w:rFonts w:ascii="宋体" w:hAnsi="宋体"/>
        </w:rPr>
      </w:pPr>
      <w:r>
        <w:rPr>
          <w:rFonts w:hint="eastAsia" w:ascii="宋体" w:hAnsi="宋体"/>
        </w:rPr>
        <w:t xml:space="preserve">营业执照（注册号）：                       </w:t>
      </w:r>
    </w:p>
    <w:p w14:paraId="177AC400">
      <w:pPr>
        <w:spacing w:line="480" w:lineRule="auto"/>
        <w:ind w:firstLine="840" w:firstLineChars="400"/>
        <w:rPr>
          <w:rFonts w:ascii="宋体" w:hAnsi="宋体"/>
        </w:rPr>
      </w:pPr>
      <w:r>
        <w:rPr>
          <w:rFonts w:hint="eastAsia" w:ascii="宋体" w:hAnsi="宋体"/>
        </w:rPr>
        <w:t>经济性质：</w:t>
      </w:r>
    </w:p>
    <w:p w14:paraId="5BD48972">
      <w:pPr>
        <w:spacing w:line="480" w:lineRule="auto"/>
        <w:ind w:firstLine="840" w:firstLineChars="400"/>
        <w:rPr>
          <w:rFonts w:ascii="宋体" w:hAnsi="宋体"/>
        </w:rPr>
      </w:pPr>
      <w:r>
        <w:rPr>
          <w:rFonts w:hint="eastAsia" w:ascii="宋体" w:hAnsi="宋体"/>
        </w:rPr>
        <w:t>主营（产）：</w:t>
      </w:r>
    </w:p>
    <w:p w14:paraId="28B11784">
      <w:pPr>
        <w:spacing w:line="480" w:lineRule="auto"/>
        <w:ind w:firstLine="840" w:firstLineChars="400"/>
        <w:rPr>
          <w:rFonts w:ascii="宋体" w:hAnsi="宋体"/>
        </w:rPr>
      </w:pPr>
      <w:r>
        <w:rPr>
          <w:rFonts w:hint="eastAsia" w:ascii="宋体" w:hAnsi="宋体"/>
        </w:rPr>
        <w:t>兼营（产）：</w:t>
      </w:r>
    </w:p>
    <w:p w14:paraId="5A9F390B">
      <w:pPr>
        <w:spacing w:line="480" w:lineRule="auto"/>
        <w:ind w:firstLine="960" w:firstLineChars="400"/>
        <w:rPr>
          <w:rFonts w:ascii="宋体" w:hAnsi="宋体"/>
          <w:sz w:val="24"/>
        </w:rPr>
      </w:pPr>
    </w:p>
    <w:p w14:paraId="6EF3EF90">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0795" b="1016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7D6B889">
                            <w:pPr>
                              <w:ind w:firstLine="1260" w:firstLineChars="600"/>
                            </w:pPr>
                            <w:r>
                              <w:rPr>
                                <w:rFonts w:hint="eastAsia"/>
                              </w:rPr>
                              <w:t>法定代表人（负责人）</w:t>
                            </w:r>
                          </w:p>
                          <w:p w14:paraId="54E7127E">
                            <w:pPr>
                              <w:ind w:firstLine="1050" w:firstLineChars="500"/>
                            </w:pPr>
                            <w:r>
                              <w:rPr>
                                <w:rFonts w:hint="eastAsia"/>
                              </w:rPr>
                              <w:t xml:space="preserve"> 居民身份证复印件粘贴处</w:t>
                            </w:r>
                          </w:p>
                          <w:p w14:paraId="05719068">
                            <w:pPr>
                              <w:ind w:firstLine="1050" w:firstLineChars="500"/>
                            </w:pPr>
                          </w:p>
                          <w:p w14:paraId="1FEF5A9B">
                            <w:pPr>
                              <w:ind w:firstLine="1785" w:firstLineChars="850"/>
                            </w:pPr>
                            <w:r>
                              <w:rPr>
                                <w:rFonts w:hint="eastAsia"/>
                              </w:rPr>
                              <w:t>（反面）</w:t>
                            </w:r>
                          </w:p>
                          <w:p w14:paraId="40140623">
                            <w:pPr>
                              <w:ind w:firstLine="1050" w:firstLineChars="500"/>
                            </w:pPr>
                          </w:p>
                          <w:p w14:paraId="36BFFA10"/>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Lbtl9gAAAAKAQAADwAAAAAAAAABACAAAAAiAAAAZHJzL2Rvd25yZXYu&#10;eG1sUEsBAhQAFAAAAAgAh07iQPEXkV/7AQAAOwQAAA4AAAAAAAAAAQAgAAAAJwEAAGRycy9lMm9E&#10;b2MueG1sUEsFBgAAAAAGAAYAWQEAAJQFAAAAAA==&#10;">
                <v:fill on="t" focussize="0,0"/>
                <v:stroke color="#000000" joinstyle="miter"/>
                <v:imagedata o:title=""/>
                <o:lock v:ext="edit" aspectratio="f"/>
                <v:textbox>
                  <w:txbxContent>
                    <w:p w14:paraId="77D6B889">
                      <w:pPr>
                        <w:ind w:firstLine="1260" w:firstLineChars="600"/>
                      </w:pPr>
                      <w:r>
                        <w:rPr>
                          <w:rFonts w:hint="eastAsia"/>
                        </w:rPr>
                        <w:t>法定代表人（负责人）</w:t>
                      </w:r>
                    </w:p>
                    <w:p w14:paraId="54E7127E">
                      <w:pPr>
                        <w:ind w:firstLine="1050" w:firstLineChars="500"/>
                      </w:pPr>
                      <w:r>
                        <w:rPr>
                          <w:rFonts w:hint="eastAsia"/>
                        </w:rPr>
                        <w:t xml:space="preserve"> 居民身份证复印件粘贴处</w:t>
                      </w:r>
                    </w:p>
                    <w:p w14:paraId="05719068">
                      <w:pPr>
                        <w:ind w:firstLine="1050" w:firstLineChars="500"/>
                      </w:pPr>
                    </w:p>
                    <w:p w14:paraId="1FEF5A9B">
                      <w:pPr>
                        <w:ind w:firstLine="1785" w:firstLineChars="850"/>
                      </w:pPr>
                      <w:r>
                        <w:rPr>
                          <w:rFonts w:hint="eastAsia"/>
                        </w:rPr>
                        <w:t>（反面）</w:t>
                      </w:r>
                    </w:p>
                    <w:p w14:paraId="40140623">
                      <w:pPr>
                        <w:ind w:firstLine="1050" w:firstLineChars="500"/>
                      </w:pPr>
                    </w:p>
                    <w:p w14:paraId="36BFFA10"/>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0795" b="1016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97F02D">
                            <w:pPr>
                              <w:ind w:firstLine="1260" w:firstLineChars="600"/>
                              <w:jc w:val="left"/>
                            </w:pPr>
                            <w:r>
                              <w:rPr>
                                <w:rFonts w:hint="eastAsia"/>
                              </w:rPr>
                              <w:t>法定代表人（负责人）</w:t>
                            </w:r>
                          </w:p>
                          <w:p w14:paraId="76778678">
                            <w:pPr>
                              <w:ind w:firstLine="1050" w:firstLineChars="500"/>
                              <w:jc w:val="left"/>
                            </w:pPr>
                            <w:r>
                              <w:rPr>
                                <w:rFonts w:hint="eastAsia"/>
                              </w:rPr>
                              <w:t xml:space="preserve"> 居民身份证复印件粘贴处</w:t>
                            </w:r>
                          </w:p>
                          <w:p w14:paraId="6454CC1B">
                            <w:pPr>
                              <w:ind w:firstLine="1050" w:firstLineChars="500"/>
                              <w:jc w:val="left"/>
                            </w:pPr>
                          </w:p>
                          <w:p w14:paraId="0DFA16F9">
                            <w:pPr>
                              <w:ind w:firstLine="1785" w:firstLineChars="850"/>
                              <w:jc w:val="left"/>
                            </w:pPr>
                            <w:r>
                              <w:rPr>
                                <w:rFonts w:hint="eastAsia"/>
                              </w:rPr>
                              <w:t>（正面）</w:t>
                            </w:r>
                          </w:p>
                          <w:p w14:paraId="416175A5">
                            <w:pPr>
                              <w:ind w:firstLine="1050" w:firstLineChars="500"/>
                              <w:jc w:val="left"/>
                            </w:pPr>
                          </w:p>
                          <w:p w14:paraId="211C5410">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X9fxdkAAAAKAQAADwAAAAAAAAABACAAAAAiAAAAZHJzL2Rvd25yZXYu&#10;eG1sUEsBAhQAFAAAAAgAh07iQB3WTbz6AQAAOwQAAA4AAAAAAAAAAQAgAAAAKAEAAGRycy9lMm9E&#10;b2MueG1sUEsFBgAAAAAGAAYAWQEAAJQFAAAAAA==&#10;">
                <v:fill on="t" focussize="0,0"/>
                <v:stroke color="#000000" joinstyle="miter"/>
                <v:imagedata o:title=""/>
                <o:lock v:ext="edit" aspectratio="f"/>
                <v:textbox>
                  <w:txbxContent>
                    <w:p w14:paraId="5C97F02D">
                      <w:pPr>
                        <w:ind w:firstLine="1260" w:firstLineChars="600"/>
                        <w:jc w:val="left"/>
                      </w:pPr>
                      <w:r>
                        <w:rPr>
                          <w:rFonts w:hint="eastAsia"/>
                        </w:rPr>
                        <w:t>法定代表人（负责人）</w:t>
                      </w:r>
                    </w:p>
                    <w:p w14:paraId="76778678">
                      <w:pPr>
                        <w:ind w:firstLine="1050" w:firstLineChars="500"/>
                        <w:jc w:val="left"/>
                      </w:pPr>
                      <w:r>
                        <w:rPr>
                          <w:rFonts w:hint="eastAsia"/>
                        </w:rPr>
                        <w:t xml:space="preserve"> 居民身份证复印件粘贴处</w:t>
                      </w:r>
                    </w:p>
                    <w:p w14:paraId="6454CC1B">
                      <w:pPr>
                        <w:ind w:firstLine="1050" w:firstLineChars="500"/>
                        <w:jc w:val="left"/>
                      </w:pPr>
                    </w:p>
                    <w:p w14:paraId="0DFA16F9">
                      <w:pPr>
                        <w:ind w:firstLine="1785" w:firstLineChars="850"/>
                        <w:jc w:val="left"/>
                      </w:pPr>
                      <w:r>
                        <w:rPr>
                          <w:rFonts w:hint="eastAsia"/>
                        </w:rPr>
                        <w:t>（正面）</w:t>
                      </w:r>
                    </w:p>
                    <w:p w14:paraId="416175A5">
                      <w:pPr>
                        <w:ind w:firstLine="1050" w:firstLineChars="500"/>
                        <w:jc w:val="left"/>
                      </w:pPr>
                    </w:p>
                    <w:p w14:paraId="211C5410">
                      <w:pPr>
                        <w:jc w:val="left"/>
                      </w:pPr>
                    </w:p>
                  </w:txbxContent>
                </v:textbox>
              </v:rect>
            </w:pict>
          </mc:Fallback>
        </mc:AlternateContent>
      </w:r>
    </w:p>
    <w:p w14:paraId="66FB2F6C">
      <w:pPr>
        <w:spacing w:line="500" w:lineRule="exact"/>
        <w:rPr>
          <w:rFonts w:ascii="宋体"/>
          <w:b/>
          <w:bCs/>
        </w:rPr>
      </w:pPr>
    </w:p>
    <w:p w14:paraId="6EB98331">
      <w:pPr>
        <w:spacing w:line="500" w:lineRule="exact"/>
        <w:rPr>
          <w:rFonts w:ascii="宋体"/>
          <w:b/>
          <w:bCs/>
        </w:rPr>
      </w:pPr>
    </w:p>
    <w:p w14:paraId="254217B4">
      <w:pPr>
        <w:spacing w:line="500" w:lineRule="exact"/>
        <w:rPr>
          <w:rFonts w:ascii="宋体"/>
          <w:b/>
          <w:bCs/>
        </w:rPr>
      </w:pPr>
    </w:p>
    <w:p w14:paraId="6A62B0EA">
      <w:pPr>
        <w:spacing w:line="500" w:lineRule="exact"/>
        <w:rPr>
          <w:rFonts w:ascii="宋体"/>
          <w:b/>
          <w:bCs/>
        </w:rPr>
      </w:pPr>
    </w:p>
    <w:p w14:paraId="04BAA028">
      <w:pPr>
        <w:spacing w:line="500" w:lineRule="exact"/>
        <w:rPr>
          <w:rFonts w:ascii="宋体"/>
          <w:b/>
          <w:bCs/>
        </w:rPr>
      </w:pPr>
    </w:p>
    <w:p w14:paraId="350443D7">
      <w:pPr>
        <w:spacing w:line="500" w:lineRule="exact"/>
        <w:rPr>
          <w:rFonts w:ascii="宋体"/>
          <w:b/>
          <w:bCs/>
        </w:rPr>
      </w:pPr>
      <w:r>
        <w:rPr>
          <w:rFonts w:hint="eastAsia" w:ascii="宋体"/>
          <w:b/>
          <w:bCs/>
        </w:rPr>
        <w:t xml:space="preserve">                         </w:t>
      </w:r>
    </w:p>
    <w:p w14:paraId="329104BB">
      <w:pPr>
        <w:spacing w:line="360" w:lineRule="auto"/>
        <w:ind w:firstLine="539" w:firstLineChars="257"/>
      </w:pPr>
    </w:p>
    <w:p w14:paraId="436001F8">
      <w:pPr>
        <w:spacing w:line="360" w:lineRule="auto"/>
        <w:ind w:firstLine="539" w:firstLineChars="257"/>
      </w:pPr>
      <w:r>
        <w:rPr>
          <w:rFonts w:hint="eastAsia"/>
        </w:rPr>
        <w:t>单位名称：（公章）</w:t>
      </w:r>
      <w:r>
        <w:rPr>
          <w:rFonts w:hint="eastAsia"/>
          <w:u w:val="single"/>
        </w:rPr>
        <w:t xml:space="preserve">                                         </w:t>
      </w:r>
    </w:p>
    <w:p w14:paraId="1D666CB1">
      <w:pPr>
        <w:spacing w:line="360" w:lineRule="auto"/>
        <w:ind w:firstLine="539" w:firstLineChars="257"/>
      </w:pPr>
    </w:p>
    <w:p w14:paraId="36BD6BD6">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033292F5">
      <w:pPr>
        <w:ind w:firstLine="2249" w:firstLineChars="800"/>
        <w:rPr>
          <w:b/>
          <w:bCs/>
          <w:sz w:val="28"/>
        </w:rPr>
      </w:pPr>
    </w:p>
    <w:p w14:paraId="4A7352F0">
      <w:pPr>
        <w:jc w:val="center"/>
        <w:rPr>
          <w:b/>
          <w:bCs/>
          <w:sz w:val="28"/>
        </w:rPr>
      </w:pPr>
      <w:r>
        <w:rPr>
          <w:rFonts w:hint="eastAsia"/>
          <w:b/>
          <w:bCs/>
          <w:sz w:val="28"/>
        </w:rPr>
        <w:t>法定代表人（负责人）授权委托书（参考）</w:t>
      </w:r>
    </w:p>
    <w:p w14:paraId="77F1A298"/>
    <w:p w14:paraId="5C1ABC94">
      <w:pPr>
        <w:rPr>
          <w:b/>
          <w:bCs/>
        </w:rPr>
      </w:pPr>
      <w:r>
        <w:rPr>
          <w:rFonts w:hint="eastAsia"/>
        </w:rPr>
        <w:t>深圳市中正招标有限公司</w:t>
      </w:r>
      <w:r>
        <w:rPr>
          <w:rFonts w:hint="eastAsia"/>
          <w:b/>
          <w:bCs/>
        </w:rPr>
        <w:t>：</w:t>
      </w:r>
    </w:p>
    <w:p w14:paraId="114F960F">
      <w:pPr>
        <w:ind w:firstLine="630"/>
      </w:pPr>
    </w:p>
    <w:p w14:paraId="5F7ADDBF">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705A6B69">
      <w:pPr>
        <w:adjustRightInd w:val="0"/>
        <w:snapToGrid w:val="0"/>
        <w:spacing w:line="360" w:lineRule="auto"/>
        <w:ind w:firstLine="629"/>
      </w:pPr>
    </w:p>
    <w:p w14:paraId="14478E26">
      <w:pPr>
        <w:ind w:firstLine="630"/>
      </w:pPr>
    </w:p>
    <w:p w14:paraId="79D13D43">
      <w:pPr>
        <w:adjustRightInd w:val="0"/>
        <w:snapToGrid w:val="0"/>
        <w:spacing w:line="360" w:lineRule="auto"/>
        <w:ind w:firstLine="629"/>
        <w:rPr>
          <w:b/>
          <w:bCs/>
        </w:rPr>
      </w:pPr>
      <w:r>
        <w:rPr>
          <w:rFonts w:hint="eastAsia"/>
          <w:b/>
          <w:bCs/>
        </w:rPr>
        <w:t>附授权代表情况：</w:t>
      </w:r>
    </w:p>
    <w:p w14:paraId="24690A1B">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7A05BBC5">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3AF5E00">
      <w:pPr>
        <w:adjustRightInd w:val="0"/>
        <w:snapToGrid w:val="0"/>
        <w:spacing w:line="360" w:lineRule="auto"/>
        <w:ind w:firstLine="629"/>
      </w:pPr>
      <w:r>
        <w:rPr>
          <w:rFonts w:hint="eastAsia"/>
        </w:rPr>
        <w:t>职务：</w:t>
      </w:r>
    </w:p>
    <w:p w14:paraId="491E06D4">
      <w:pPr>
        <w:adjustRightInd w:val="0"/>
        <w:snapToGrid w:val="0"/>
        <w:spacing w:line="360" w:lineRule="auto"/>
        <w:ind w:firstLine="629"/>
      </w:pPr>
      <w:r>
        <w:rPr>
          <w:rFonts w:hint="eastAsia"/>
        </w:rPr>
        <w:t>身份证号码：</w:t>
      </w:r>
    </w:p>
    <w:p w14:paraId="3E7374E8">
      <w:pPr>
        <w:adjustRightInd w:val="0"/>
        <w:snapToGrid w:val="0"/>
        <w:spacing w:line="360" w:lineRule="auto"/>
        <w:ind w:firstLine="629"/>
        <w:rPr>
          <w:b/>
          <w:bCs/>
        </w:rPr>
      </w:pPr>
      <w:r>
        <w:rPr>
          <w:rFonts w:hint="eastAsia"/>
        </w:rPr>
        <w:t>邮编：</w:t>
      </w:r>
      <w:r>
        <w:rPr>
          <w:rFonts w:hint="eastAsia"/>
          <w:b/>
          <w:bCs/>
        </w:rPr>
        <w:t xml:space="preserve"> </w:t>
      </w:r>
    </w:p>
    <w:p w14:paraId="49B1B4BF">
      <w:pPr>
        <w:adjustRightInd w:val="0"/>
        <w:snapToGrid w:val="0"/>
        <w:spacing w:line="360" w:lineRule="auto"/>
        <w:ind w:firstLine="629"/>
      </w:pPr>
      <w:r>
        <w:rPr>
          <w:rFonts w:hint="eastAsia"/>
        </w:rPr>
        <w:t>通讯地址：</w:t>
      </w:r>
      <w:r>
        <w:rPr>
          <w:rFonts w:hint="eastAsia"/>
          <w:b/>
          <w:bCs/>
        </w:rPr>
        <w:t xml:space="preserve"> </w:t>
      </w:r>
    </w:p>
    <w:p w14:paraId="4AE17CEC">
      <w:pPr>
        <w:adjustRightInd w:val="0"/>
        <w:snapToGrid w:val="0"/>
        <w:spacing w:line="360" w:lineRule="auto"/>
        <w:ind w:firstLine="629"/>
      </w:pPr>
      <w:r>
        <w:rPr>
          <w:rFonts w:hint="eastAsia"/>
        </w:rPr>
        <w:t>手机号码：</w:t>
      </w:r>
    </w:p>
    <w:p w14:paraId="49287F6F">
      <w:pPr>
        <w:adjustRightInd w:val="0"/>
        <w:snapToGrid w:val="0"/>
        <w:spacing w:line="360" w:lineRule="auto"/>
        <w:ind w:firstLine="629"/>
      </w:pPr>
      <w:r>
        <w:rPr>
          <w:rFonts w:hint="eastAsia"/>
        </w:rPr>
        <w:t xml:space="preserve"> </w:t>
      </w:r>
    </w:p>
    <w:p w14:paraId="7AD5E546">
      <w:pPr>
        <w:ind w:firstLine="630"/>
      </w:pPr>
      <w:r>
        <w:rPr>
          <w:rFonts w:hint="eastAsia"/>
        </w:rPr>
        <w:t>单位名称：（公章）</w:t>
      </w:r>
    </w:p>
    <w:p w14:paraId="3AA02FEE">
      <w:pPr>
        <w:ind w:firstLine="630"/>
      </w:pPr>
    </w:p>
    <w:p w14:paraId="0E113BCD">
      <w:pPr>
        <w:ind w:firstLine="630"/>
      </w:pPr>
      <w:r>
        <w:rPr>
          <w:rFonts w:hint="eastAsia"/>
        </w:rPr>
        <w:t>法定代表人（负责人）：（签字）</w:t>
      </w:r>
    </w:p>
    <w:p w14:paraId="3AF6D807">
      <w:pPr>
        <w:ind w:firstLine="630"/>
      </w:pPr>
    </w:p>
    <w:p w14:paraId="1AE830B1">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2B467883">
      <w:pPr>
        <w:spacing w:line="440" w:lineRule="exact"/>
        <w:rPr>
          <w:rFonts w:ascii="黑体" w:eastAsia="黑体"/>
        </w:rPr>
      </w:pPr>
      <w:bookmarkStart w:id="50"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0795" b="1016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8C50C7A">
                            <w:pPr>
                              <w:ind w:firstLine="1260" w:firstLineChars="600"/>
                            </w:pPr>
                            <w:r>
                              <w:rPr>
                                <w:rFonts w:hint="eastAsia"/>
                              </w:rPr>
                              <w:t>被授权人（授权代表）</w:t>
                            </w:r>
                          </w:p>
                          <w:p w14:paraId="0B47BEDA">
                            <w:pPr>
                              <w:ind w:firstLine="1050" w:firstLineChars="500"/>
                            </w:pPr>
                            <w:r>
                              <w:rPr>
                                <w:rFonts w:hint="eastAsia"/>
                              </w:rPr>
                              <w:t>居民身份证复印件粘贴处</w:t>
                            </w:r>
                          </w:p>
                          <w:p w14:paraId="235BA68B">
                            <w:pPr>
                              <w:ind w:firstLine="1050" w:firstLineChars="500"/>
                            </w:pPr>
                          </w:p>
                          <w:p w14:paraId="2D58916C">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KcuhdgAAAAKAQAADwAAAAAAAAABACAAAAAiAAAAZHJzL2Rvd25yZXYu&#10;eG1sUEsBAhQAFAAAAAgAh07iQCVzB5H7AQAAOwQAAA4AAAAAAAAAAQAgAAAAJwEAAGRycy9lMm9E&#10;b2MueG1sUEsFBgAAAAAGAAYAWQEAAJQFAAAAAA==&#10;">
                <v:fill on="t" focussize="0,0"/>
                <v:stroke color="#000000" joinstyle="miter"/>
                <v:imagedata o:title=""/>
                <o:lock v:ext="edit" aspectratio="f"/>
                <v:textbox>
                  <w:txbxContent>
                    <w:p w14:paraId="68C50C7A">
                      <w:pPr>
                        <w:ind w:firstLine="1260" w:firstLineChars="600"/>
                      </w:pPr>
                      <w:r>
                        <w:rPr>
                          <w:rFonts w:hint="eastAsia"/>
                        </w:rPr>
                        <w:t>被授权人（授权代表）</w:t>
                      </w:r>
                    </w:p>
                    <w:p w14:paraId="0B47BEDA">
                      <w:pPr>
                        <w:ind w:firstLine="1050" w:firstLineChars="500"/>
                      </w:pPr>
                      <w:r>
                        <w:rPr>
                          <w:rFonts w:hint="eastAsia"/>
                        </w:rPr>
                        <w:t>居民身份证复印件粘贴处</w:t>
                      </w:r>
                    </w:p>
                    <w:p w14:paraId="235BA68B">
                      <w:pPr>
                        <w:ind w:firstLine="1050" w:firstLineChars="500"/>
                      </w:pPr>
                    </w:p>
                    <w:p w14:paraId="2D58916C">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0795" b="1016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9E62CE8">
                            <w:pPr>
                              <w:ind w:firstLine="1260" w:firstLineChars="600"/>
                            </w:pPr>
                            <w:r>
                              <w:rPr>
                                <w:rFonts w:hint="eastAsia"/>
                              </w:rPr>
                              <w:t>被授权人（授权代表）</w:t>
                            </w:r>
                          </w:p>
                          <w:p w14:paraId="547A6F00">
                            <w:pPr>
                              <w:ind w:firstLine="1050" w:firstLineChars="500"/>
                            </w:pPr>
                            <w:r>
                              <w:rPr>
                                <w:rFonts w:hint="eastAsia"/>
                              </w:rPr>
                              <w:t>居民身份证复印件粘贴处</w:t>
                            </w:r>
                          </w:p>
                          <w:p w14:paraId="2E041EAF">
                            <w:pPr>
                              <w:ind w:firstLine="1050" w:firstLineChars="500"/>
                            </w:pPr>
                          </w:p>
                          <w:p w14:paraId="27DE1F79">
                            <w:pPr>
                              <w:ind w:firstLine="1785" w:firstLineChars="850"/>
                            </w:pPr>
                            <w:r>
                              <w:rPr>
                                <w:rFonts w:hint="eastAsia"/>
                              </w:rPr>
                              <w:t>（反面）</w:t>
                            </w:r>
                          </w:p>
                          <w:p w14:paraId="398F9017"/>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dm/rtgAAAAKAQAADwAAAAAAAAABACAAAAAiAAAAZHJzL2Rvd25yZXYu&#10;eG1sUEsBAhQAFAAAAAgAh07iQLirKnX7AQAAOwQAAA4AAAAAAAAAAQAgAAAAJwEAAGRycy9lMm9E&#10;b2MueG1sUEsFBgAAAAAGAAYAWQEAAJQFAAAAAA==&#10;">
                <v:fill on="t" focussize="0,0"/>
                <v:stroke color="#000000" joinstyle="miter"/>
                <v:imagedata o:title=""/>
                <o:lock v:ext="edit" aspectratio="f"/>
                <v:textbox>
                  <w:txbxContent>
                    <w:p w14:paraId="29E62CE8">
                      <w:pPr>
                        <w:ind w:firstLine="1260" w:firstLineChars="600"/>
                      </w:pPr>
                      <w:r>
                        <w:rPr>
                          <w:rFonts w:hint="eastAsia"/>
                        </w:rPr>
                        <w:t>被授权人（授权代表）</w:t>
                      </w:r>
                    </w:p>
                    <w:p w14:paraId="547A6F00">
                      <w:pPr>
                        <w:ind w:firstLine="1050" w:firstLineChars="500"/>
                      </w:pPr>
                      <w:r>
                        <w:rPr>
                          <w:rFonts w:hint="eastAsia"/>
                        </w:rPr>
                        <w:t>居民身份证复印件粘贴处</w:t>
                      </w:r>
                    </w:p>
                    <w:p w14:paraId="2E041EAF">
                      <w:pPr>
                        <w:ind w:firstLine="1050" w:firstLineChars="500"/>
                      </w:pPr>
                    </w:p>
                    <w:p w14:paraId="27DE1F79">
                      <w:pPr>
                        <w:ind w:firstLine="1785" w:firstLineChars="850"/>
                      </w:pPr>
                      <w:r>
                        <w:rPr>
                          <w:rFonts w:hint="eastAsia"/>
                        </w:rPr>
                        <w:t>（反面）</w:t>
                      </w:r>
                    </w:p>
                    <w:p w14:paraId="398F9017"/>
                  </w:txbxContent>
                </v:textbox>
              </v:rect>
            </w:pict>
          </mc:Fallback>
        </mc:AlternateContent>
      </w:r>
      <w:bookmarkEnd w:id="50"/>
    </w:p>
    <w:p w14:paraId="23F7BA26">
      <w:pPr>
        <w:spacing w:line="440" w:lineRule="exact"/>
        <w:rPr>
          <w:rFonts w:ascii="黑体" w:eastAsia="黑体"/>
        </w:rPr>
      </w:pPr>
    </w:p>
    <w:p w14:paraId="10D6A841">
      <w:pPr>
        <w:spacing w:line="440" w:lineRule="exact"/>
        <w:rPr>
          <w:rFonts w:ascii="黑体" w:eastAsia="黑体"/>
        </w:rPr>
      </w:pPr>
    </w:p>
    <w:p w14:paraId="1A84E3A8">
      <w:pPr>
        <w:spacing w:line="440" w:lineRule="exact"/>
        <w:rPr>
          <w:rFonts w:ascii="黑体" w:eastAsia="黑体"/>
        </w:rPr>
      </w:pPr>
    </w:p>
    <w:p w14:paraId="786C9061">
      <w:pPr>
        <w:spacing w:line="440" w:lineRule="exact"/>
        <w:rPr>
          <w:rFonts w:ascii="黑体" w:eastAsia="黑体"/>
        </w:rPr>
      </w:pPr>
    </w:p>
    <w:p w14:paraId="5B0864C1">
      <w:pPr>
        <w:tabs>
          <w:tab w:val="left" w:pos="5115"/>
        </w:tabs>
        <w:spacing w:line="440" w:lineRule="exact"/>
        <w:rPr>
          <w:rFonts w:ascii="黑体" w:eastAsia="黑体"/>
        </w:rPr>
      </w:pPr>
      <w:r>
        <w:rPr>
          <w:rFonts w:ascii="黑体" w:eastAsia="黑体"/>
        </w:rPr>
        <w:tab/>
      </w:r>
    </w:p>
    <w:p w14:paraId="02664BD6">
      <w:pPr>
        <w:spacing w:line="440" w:lineRule="exact"/>
        <w:rPr>
          <w:rFonts w:ascii="黑体" w:eastAsia="黑体"/>
        </w:rPr>
      </w:pPr>
    </w:p>
    <w:p w14:paraId="3E4FD3BA">
      <w:pPr>
        <w:adjustRightInd w:val="0"/>
        <w:snapToGrid w:val="0"/>
        <w:spacing w:line="300" w:lineRule="auto"/>
        <w:ind w:firstLine="5008" w:firstLineChars="2385"/>
      </w:pPr>
    </w:p>
    <w:p w14:paraId="4C340153">
      <w:pPr>
        <w:adjustRightInd w:val="0"/>
        <w:snapToGrid w:val="0"/>
        <w:spacing w:line="300" w:lineRule="auto"/>
      </w:pPr>
    </w:p>
    <w:p w14:paraId="487158DB">
      <w:pPr>
        <w:adjustRightInd w:val="0"/>
        <w:snapToGrid w:val="0"/>
        <w:spacing w:line="300" w:lineRule="auto"/>
      </w:pPr>
    </w:p>
    <w:p w14:paraId="1DEC9029">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w:t>
      </w:r>
    </w:p>
    <w:p w14:paraId="7FF495CF">
      <w:pPr>
        <w:widowControl/>
        <w:snapToGrid w:val="0"/>
        <w:spacing w:line="360" w:lineRule="auto"/>
        <w:jc w:val="left"/>
      </w:pPr>
    </w:p>
    <w:p w14:paraId="57CD9216">
      <w:pPr>
        <w:widowControl/>
        <w:snapToGrid w:val="0"/>
        <w:spacing w:line="360" w:lineRule="auto"/>
        <w:jc w:val="left"/>
        <w:rPr>
          <w:rFonts w:asciiTheme="minorEastAsia" w:hAnsiTheme="minorEastAsia" w:eastAsiaTheme="minorEastAsia"/>
          <w:color w:val="FF0000"/>
          <w:kern w:val="0"/>
          <w:szCs w:val="21"/>
        </w:rPr>
      </w:pPr>
    </w:p>
    <w:p w14:paraId="71B314AA">
      <w:pPr>
        <w:pStyle w:val="3"/>
        <w:tabs>
          <w:tab w:val="left" w:pos="371"/>
        </w:tabs>
        <w:spacing w:before="120" w:after="120"/>
        <w:ind w:left="-1" w:leftChars="-1" w:hanging="1"/>
        <w:jc w:val="center"/>
        <w:rPr>
          <w:rFonts w:asciiTheme="minorEastAsia" w:hAnsiTheme="minorEastAsia" w:eastAsiaTheme="minorEastAsia"/>
        </w:rPr>
      </w:pPr>
      <w:bookmarkStart w:id="51" w:name="_Toc135293345"/>
      <w:bookmarkStart w:id="52" w:name="_Toc20853"/>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1"/>
      <w:bookmarkEnd w:id="52"/>
    </w:p>
    <w:p w14:paraId="3BBE67B1">
      <w:pPr>
        <w:adjustRightInd w:val="0"/>
        <w:snapToGrid w:val="0"/>
        <w:spacing w:line="312" w:lineRule="auto"/>
      </w:pPr>
    </w:p>
    <w:p w14:paraId="44590E44">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0A001EE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F396ED">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50EDD11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2．我单位提交的投标文件为：投标书正本一份，副本五份，电子备份光盘（或U盘）2份（内容为投标文件正本盖章扫描件）。</w:t>
      </w:r>
    </w:p>
    <w:p w14:paraId="4EFED0B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7B2AE1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6862DFB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1F3B1AC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22389DC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BB0DF0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同意中标后向采购代理机构支付招标文件要求数额的代理服务费。</w:t>
      </w:r>
    </w:p>
    <w:p w14:paraId="6344CD52">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77102853">
      <w:pPr>
        <w:adjustRightInd w:val="0"/>
        <w:snapToGrid w:val="0"/>
        <w:spacing w:line="360" w:lineRule="auto"/>
        <w:ind w:firstLine="600"/>
      </w:pPr>
    </w:p>
    <w:p w14:paraId="25D1D2E2">
      <w:pPr>
        <w:adjustRightInd w:val="0"/>
        <w:snapToGrid w:val="0"/>
        <w:spacing w:line="360" w:lineRule="auto"/>
        <w:ind w:firstLine="426"/>
      </w:pPr>
      <w:r>
        <w:t>单    位： （盖</w:t>
      </w:r>
      <w:r>
        <w:rPr>
          <w:rFonts w:hint="eastAsia"/>
        </w:rPr>
        <w:t>公</w:t>
      </w:r>
      <w:r>
        <w:t>章）</w:t>
      </w:r>
    </w:p>
    <w:p w14:paraId="7D980A59">
      <w:pPr>
        <w:adjustRightInd w:val="0"/>
        <w:snapToGrid w:val="0"/>
        <w:spacing w:line="360" w:lineRule="auto"/>
        <w:ind w:firstLine="426"/>
      </w:pPr>
      <w:r>
        <w:t xml:space="preserve">地    址： </w:t>
      </w:r>
    </w:p>
    <w:p w14:paraId="0A7DC096">
      <w:pPr>
        <w:adjustRightInd w:val="0"/>
        <w:snapToGrid w:val="0"/>
        <w:spacing w:line="360" w:lineRule="auto"/>
        <w:ind w:firstLine="426"/>
      </w:pPr>
      <w:r>
        <w:t xml:space="preserve">电    话：     </w:t>
      </w:r>
    </w:p>
    <w:p w14:paraId="27A787D9">
      <w:pPr>
        <w:adjustRightInd w:val="0"/>
        <w:snapToGrid w:val="0"/>
        <w:spacing w:line="360" w:lineRule="auto"/>
        <w:ind w:firstLine="426"/>
      </w:pPr>
      <w:r>
        <w:t>传    真：</w:t>
      </w:r>
    </w:p>
    <w:p w14:paraId="6DBF0EC3">
      <w:pPr>
        <w:adjustRightInd w:val="0"/>
        <w:snapToGrid w:val="0"/>
        <w:spacing w:line="360" w:lineRule="auto"/>
        <w:ind w:firstLine="426"/>
      </w:pPr>
      <w:r>
        <w:t>邮    编：</w:t>
      </w:r>
    </w:p>
    <w:p w14:paraId="34027F6F">
      <w:pPr>
        <w:adjustRightInd w:val="0"/>
        <w:snapToGrid w:val="0"/>
        <w:spacing w:line="360" w:lineRule="auto"/>
        <w:ind w:firstLine="426"/>
      </w:pPr>
      <w:r>
        <w:t xml:space="preserve">联 系 人： </w:t>
      </w:r>
    </w:p>
    <w:p w14:paraId="3E633776">
      <w:pPr>
        <w:adjustRightInd w:val="0"/>
        <w:snapToGrid w:val="0"/>
        <w:spacing w:line="360" w:lineRule="auto"/>
        <w:ind w:firstLine="600"/>
      </w:pPr>
    </w:p>
    <w:p w14:paraId="4B1A348B">
      <w:pPr>
        <w:adjustRightInd w:val="0"/>
        <w:snapToGrid w:val="0"/>
        <w:spacing w:line="360" w:lineRule="auto"/>
        <w:ind w:firstLine="600"/>
        <w:jc w:val="right"/>
      </w:pPr>
      <w:r>
        <w:rPr>
          <w:rFonts w:hint="eastAsia"/>
        </w:rPr>
        <w:t>年     月    日</w:t>
      </w:r>
    </w:p>
    <w:p w14:paraId="4CFD343B">
      <w:pPr>
        <w:adjustRightInd w:val="0"/>
        <w:snapToGrid w:val="0"/>
        <w:spacing w:line="360" w:lineRule="auto"/>
        <w:ind w:firstLine="600"/>
        <w:jc w:val="right"/>
      </w:pPr>
    </w:p>
    <w:p w14:paraId="71D260E8">
      <w:pPr>
        <w:tabs>
          <w:tab w:val="left" w:pos="371"/>
        </w:tabs>
        <w:spacing w:before="120" w:after="120"/>
        <w:ind w:left="-1" w:leftChars="-1" w:hanging="1"/>
        <w:jc w:val="center"/>
        <w:rPr>
          <w:b/>
          <w:snapToGrid w:val="0"/>
          <w:kern w:val="0"/>
          <w:sz w:val="28"/>
        </w:rPr>
      </w:pPr>
    </w:p>
    <w:p w14:paraId="73B16BBC">
      <w:pPr>
        <w:tabs>
          <w:tab w:val="left" w:pos="371"/>
        </w:tabs>
        <w:spacing w:before="120" w:after="120"/>
        <w:ind w:left="-1" w:leftChars="-1" w:hanging="1"/>
        <w:jc w:val="center"/>
        <w:rPr>
          <w:rFonts w:asciiTheme="minorEastAsia" w:hAnsiTheme="minorEastAsia" w:eastAsiaTheme="minorEastAsia"/>
          <w:sz w:val="24"/>
        </w:rPr>
      </w:pPr>
    </w:p>
    <w:p w14:paraId="063DB78F">
      <w:pPr>
        <w:tabs>
          <w:tab w:val="left" w:pos="371"/>
        </w:tabs>
        <w:spacing w:before="120" w:after="120"/>
        <w:ind w:left="-1" w:leftChars="-1" w:hanging="1"/>
        <w:jc w:val="center"/>
        <w:rPr>
          <w:rFonts w:asciiTheme="minorEastAsia" w:hAnsiTheme="minorEastAsia" w:eastAsiaTheme="minorEastAsia"/>
          <w:sz w:val="24"/>
        </w:rPr>
      </w:pPr>
    </w:p>
    <w:p w14:paraId="17E1DA90">
      <w:pPr>
        <w:pStyle w:val="3"/>
        <w:tabs>
          <w:tab w:val="left" w:pos="371"/>
        </w:tabs>
        <w:spacing w:before="120" w:after="120"/>
        <w:ind w:left="-1" w:leftChars="-1" w:hanging="1"/>
        <w:jc w:val="center"/>
        <w:rPr>
          <w:rFonts w:asciiTheme="minorEastAsia" w:hAnsiTheme="minorEastAsia" w:eastAsiaTheme="minorEastAsia"/>
        </w:rPr>
      </w:pPr>
      <w:bookmarkStart w:id="53" w:name="_Toc135293346"/>
      <w:bookmarkStart w:id="54" w:name="_Toc18343"/>
      <w:r>
        <w:rPr>
          <w:rFonts w:hint="eastAsia" w:asciiTheme="minorEastAsia" w:hAnsiTheme="minorEastAsia" w:eastAsiaTheme="minorEastAsia"/>
        </w:rPr>
        <w:t>格式4  评分中涉及的承诺及声明函</w:t>
      </w:r>
      <w:bookmarkEnd w:id="53"/>
      <w:bookmarkEnd w:id="54"/>
    </w:p>
    <w:p w14:paraId="6C1F2DFB">
      <w:pPr>
        <w:widowControl/>
        <w:snapToGrid w:val="0"/>
        <w:spacing w:line="360" w:lineRule="auto"/>
        <w:jc w:val="left"/>
        <w:rPr>
          <w:rFonts w:ascii="仿宋" w:hAnsi="仿宋" w:eastAsia="仿宋"/>
          <w:b/>
          <w:bCs/>
          <w:kern w:val="0"/>
          <w:sz w:val="25"/>
          <w:szCs w:val="25"/>
        </w:rPr>
      </w:pPr>
    </w:p>
    <w:p w14:paraId="2321AD12">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42DCDB5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C11DB4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5EA2F90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16F5C4BD">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55" w:name="_Hlk71925120"/>
      <w:r>
        <w:rPr>
          <w:rFonts w:hint="eastAsia" w:asciiTheme="minorEastAsia" w:hAnsiTheme="minorEastAsia" w:eastAsiaTheme="minorEastAsia"/>
          <w:kern w:val="0"/>
          <w:szCs w:val="21"/>
        </w:rPr>
        <w:t>《关于印发中小企业划型标准规定的通知》（工信部联企业〔2011〕300 号</w:t>
      </w:r>
      <w:bookmarkEnd w:id="55"/>
      <w:r>
        <w:rPr>
          <w:rFonts w:hint="eastAsia" w:asciiTheme="minorEastAsia" w:hAnsiTheme="minorEastAsia" w:eastAsiaTheme="minorEastAsia"/>
          <w:kern w:val="0"/>
          <w:szCs w:val="21"/>
        </w:rPr>
        <w:t>）</w:t>
      </w:r>
    </w:p>
    <w:p w14:paraId="4808A2F3">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34753BE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36C84E5">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0C12CFF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2B9EC999">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31503DC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C3BAC3A">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B53C4B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CFFB78D">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（详见第三章 投标审查和评标方法）</w:t>
      </w:r>
      <w:r>
        <w:rPr>
          <w:rFonts w:hint="eastAsia" w:asciiTheme="minorEastAsia" w:hAnsiTheme="minorEastAsia" w:eastAsiaTheme="minorEastAsia"/>
          <w:kern w:val="0"/>
          <w:szCs w:val="21"/>
        </w:rPr>
        <w:t>；</w:t>
      </w:r>
    </w:p>
    <w:p w14:paraId="22EFA6B6">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8ED6B32">
      <w:pPr>
        <w:widowControl/>
        <w:snapToGrid w:val="0"/>
        <w:spacing w:line="360" w:lineRule="auto"/>
        <w:ind w:firstLine="424" w:firstLineChars="202"/>
        <w:jc w:val="left"/>
        <w:rPr>
          <w:rFonts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r>
        <w:rPr>
          <w:rFonts w:hint="eastAsia" w:ascii="宋体" w:hAnsi="宋体" w:eastAsiaTheme="minorEastAsia" w:cstheme="minorBidi"/>
          <w:kern w:val="0"/>
          <w:szCs w:val="21"/>
        </w:rPr>
        <w:t>；</w:t>
      </w:r>
    </w:p>
    <w:p w14:paraId="4A8E1DF6">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52C70E96">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2A182CDA">
      <w:pPr>
        <w:widowControl/>
        <w:snapToGrid w:val="0"/>
        <w:spacing w:line="360" w:lineRule="auto"/>
        <w:ind w:firstLine="422" w:firstLineChars="200"/>
        <w:jc w:val="left"/>
        <w:rPr>
          <w:rFonts w:ascii="宋体" w:hAnsi="宋体" w:eastAsiaTheme="minorEastAsia" w:cstheme="minorBidi"/>
          <w:kern w:val="0"/>
          <w:szCs w:val="21"/>
        </w:rPr>
      </w:pPr>
      <w:r>
        <w:rPr>
          <w:rFonts w:hint="eastAsia" w:ascii="宋体" w:hAnsi="宋体" w:eastAsiaTheme="minorEastAsia" w:cstheme="minorBidi"/>
          <w:b/>
          <w:bCs/>
          <w:color w:val="FF0000"/>
          <w:kern w:val="0"/>
          <w:szCs w:val="21"/>
        </w:rPr>
        <w:t>（9）声明函正文中“企业名称”应填写投标（响应）的货物制造商/服务承接商/工程承建商（根据项目属性确定）。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rPr>
        <w:t>”只需填写投标（响应）供应商名称并加盖投标（响应）供应商公章】</w:t>
      </w:r>
      <w:r>
        <w:rPr>
          <w:rFonts w:hint="eastAsia" w:ascii="宋体" w:hAnsi="宋体" w:eastAsiaTheme="minorEastAsia" w:cstheme="minorBidi"/>
          <w:kern w:val="0"/>
          <w:szCs w:val="21"/>
        </w:rPr>
        <w:t>；</w:t>
      </w:r>
    </w:p>
    <w:p w14:paraId="6A6EF9DE">
      <w:pPr>
        <w:widowControl/>
        <w:snapToGrid w:val="0"/>
        <w:spacing w:line="360" w:lineRule="auto"/>
        <w:ind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5C2B1FC9">
      <w:pPr>
        <w:pStyle w:val="5"/>
        <w:tabs>
          <w:tab w:val="left" w:pos="0"/>
        </w:tabs>
        <w:jc w:val="center"/>
        <w:rPr>
          <w:rFonts w:ascii="宋体" w:hAnsi="宋体" w:eastAsia="宋体"/>
        </w:rPr>
      </w:pPr>
      <w:r>
        <w:rPr>
          <w:rFonts w:hint="eastAsia" w:ascii="宋体" w:hAnsi="宋体" w:eastAsia="宋体"/>
        </w:rPr>
        <w:t>中小企业声明函</w:t>
      </w:r>
    </w:p>
    <w:p w14:paraId="1EA08AF2">
      <w:pPr>
        <w:spacing w:after="120"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0BC8D00F">
      <w:pPr>
        <w:spacing w:after="120"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387914C">
      <w:pPr>
        <w:spacing w:after="120"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48ACE06">
      <w:pPr>
        <w:spacing w:before="11" w:after="120"/>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0CA7CC17">
      <w:pPr>
        <w:spacing w:before="108" w:after="120"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13FFF9C7">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5102A112">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0B8FC873">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43AB2A2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1D2AFE9">
      <w:pPr>
        <w:spacing w:line="360" w:lineRule="auto"/>
        <w:ind w:firstLine="420" w:firstLineChars="200"/>
        <w:rPr>
          <w:rFonts w:ascii="宋体" w:hAnsi="宋体"/>
          <w:szCs w:val="21"/>
        </w:rPr>
      </w:pPr>
      <w:r>
        <w:rPr>
          <w:rFonts w:hint="eastAsia" w:ascii="宋体" w:hAnsi="宋体"/>
          <w:szCs w:val="21"/>
        </w:rPr>
        <w:t>备注：</w:t>
      </w:r>
    </w:p>
    <w:p w14:paraId="201C7B52">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42F380F">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71DCA201">
      <w:pPr>
        <w:spacing w:line="360" w:lineRule="auto"/>
        <w:ind w:firstLine="420" w:firstLineChars="200"/>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041B7682">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FB184AA">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D5A077F">
      <w:pPr>
        <w:pStyle w:val="5"/>
        <w:tabs>
          <w:tab w:val="left" w:pos="0"/>
        </w:tabs>
        <w:jc w:val="center"/>
        <w:rPr>
          <w:rFonts w:ascii="宋体" w:hAnsi="宋体" w:eastAsia="宋体"/>
        </w:rPr>
      </w:pPr>
      <w:r>
        <w:rPr>
          <w:rFonts w:hint="eastAsia" w:ascii="宋体" w:hAnsi="宋体" w:eastAsia="宋体"/>
        </w:rPr>
        <w:t>监狱企业声明函</w:t>
      </w:r>
    </w:p>
    <w:p w14:paraId="5DDA03FE">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D3C5C87">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D04F7E6">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5F28EA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51D934BC">
      <w:pPr>
        <w:spacing w:line="360" w:lineRule="auto"/>
        <w:ind w:firstLine="420" w:firstLineChars="200"/>
        <w:jc w:val="right"/>
        <w:rPr>
          <w:rFonts w:ascii="宋体" w:hAnsi="宋体"/>
          <w:szCs w:val="21"/>
        </w:rPr>
      </w:pPr>
    </w:p>
    <w:p w14:paraId="1844D9B9">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5EDEE591">
      <w:pPr>
        <w:spacing w:line="360" w:lineRule="auto"/>
        <w:ind w:left="723" w:hanging="723" w:hangingChars="300"/>
        <w:rPr>
          <w:b/>
          <w:sz w:val="24"/>
        </w:rPr>
      </w:pPr>
    </w:p>
    <w:p w14:paraId="18F7FDD7">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35DC6990">
      <w:pPr>
        <w:pStyle w:val="5"/>
        <w:tabs>
          <w:tab w:val="left" w:pos="0"/>
        </w:tabs>
        <w:jc w:val="center"/>
        <w:rPr>
          <w:rFonts w:ascii="宋体" w:hAnsi="宋体" w:eastAsia="宋体"/>
        </w:rPr>
      </w:pPr>
      <w:r>
        <w:rPr>
          <w:rFonts w:hint="eastAsia" w:ascii="宋体" w:hAnsi="宋体" w:eastAsia="宋体"/>
        </w:rPr>
        <w:t>残疾人福利性单位声明函</w:t>
      </w:r>
    </w:p>
    <w:p w14:paraId="10CF7A25">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07E128D">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1386A8DC">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4186BBA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B60A881">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0EA0612">
      <w:pPr>
        <w:spacing w:line="360" w:lineRule="auto"/>
        <w:ind w:firstLine="420"/>
        <w:jc w:val="left"/>
        <w:rPr>
          <w:rFonts w:ascii="宋体" w:hAnsi="宋体"/>
          <w:szCs w:val="21"/>
        </w:rPr>
      </w:pPr>
      <w:r>
        <w:rPr>
          <w:rFonts w:hint="eastAsia" w:ascii="宋体" w:hAnsi="宋体"/>
          <w:szCs w:val="21"/>
        </w:rPr>
        <w:t>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F6A309E">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1"/>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5961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76C8CEC6">
            <w:pPr>
              <w:jc w:val="center"/>
              <w:rPr>
                <w:b/>
                <w:szCs w:val="21"/>
              </w:rPr>
            </w:pPr>
            <w:r>
              <w:rPr>
                <w:rFonts w:hint="eastAsia"/>
                <w:b/>
                <w:szCs w:val="21"/>
              </w:rPr>
              <w:t>序号</w:t>
            </w:r>
          </w:p>
        </w:tc>
        <w:tc>
          <w:tcPr>
            <w:tcW w:w="1213" w:type="dxa"/>
            <w:vMerge w:val="restart"/>
            <w:vAlign w:val="center"/>
          </w:tcPr>
          <w:p w14:paraId="313A2EBC">
            <w:pPr>
              <w:jc w:val="center"/>
              <w:rPr>
                <w:b/>
                <w:szCs w:val="21"/>
              </w:rPr>
            </w:pPr>
            <w:r>
              <w:rPr>
                <w:rFonts w:hint="eastAsia"/>
                <w:b/>
                <w:szCs w:val="21"/>
              </w:rPr>
              <w:t>投标产品名称</w:t>
            </w:r>
          </w:p>
        </w:tc>
        <w:tc>
          <w:tcPr>
            <w:tcW w:w="1840" w:type="dxa"/>
            <w:vMerge w:val="restart"/>
            <w:vAlign w:val="center"/>
          </w:tcPr>
          <w:p w14:paraId="4AF880C9">
            <w:pPr>
              <w:jc w:val="center"/>
              <w:rPr>
                <w:b/>
                <w:szCs w:val="21"/>
              </w:rPr>
            </w:pPr>
            <w:r>
              <w:rPr>
                <w:rFonts w:hint="eastAsia"/>
                <w:b/>
                <w:szCs w:val="21"/>
              </w:rPr>
              <w:t>规格及型号</w:t>
            </w:r>
          </w:p>
        </w:tc>
        <w:tc>
          <w:tcPr>
            <w:tcW w:w="4351" w:type="dxa"/>
            <w:gridSpan w:val="3"/>
            <w:vAlign w:val="center"/>
          </w:tcPr>
          <w:p w14:paraId="4AA85EF1">
            <w:pPr>
              <w:jc w:val="center"/>
              <w:rPr>
                <w:b/>
                <w:szCs w:val="21"/>
              </w:rPr>
            </w:pPr>
            <w:r>
              <w:rPr>
                <w:rFonts w:hint="eastAsia"/>
                <w:b/>
                <w:szCs w:val="21"/>
              </w:rPr>
              <w:t>投标产品报价</w:t>
            </w:r>
          </w:p>
        </w:tc>
        <w:tc>
          <w:tcPr>
            <w:tcW w:w="1503" w:type="dxa"/>
            <w:vMerge w:val="restart"/>
            <w:vAlign w:val="center"/>
          </w:tcPr>
          <w:p w14:paraId="73082FC9">
            <w:pPr>
              <w:jc w:val="center"/>
              <w:rPr>
                <w:b/>
                <w:szCs w:val="21"/>
              </w:rPr>
            </w:pPr>
            <w:r>
              <w:rPr>
                <w:rFonts w:hint="eastAsia"/>
                <w:b/>
                <w:szCs w:val="21"/>
              </w:rPr>
              <w:t>属于优先采购清单的类别</w:t>
            </w:r>
          </w:p>
        </w:tc>
        <w:tc>
          <w:tcPr>
            <w:tcW w:w="720" w:type="dxa"/>
            <w:vMerge w:val="restart"/>
            <w:vAlign w:val="center"/>
          </w:tcPr>
          <w:p w14:paraId="704A74D9">
            <w:pPr>
              <w:jc w:val="center"/>
              <w:rPr>
                <w:b/>
                <w:szCs w:val="21"/>
              </w:rPr>
            </w:pPr>
            <w:r>
              <w:rPr>
                <w:rFonts w:hint="eastAsia"/>
                <w:b/>
                <w:szCs w:val="21"/>
              </w:rPr>
              <w:t>备注</w:t>
            </w:r>
          </w:p>
        </w:tc>
      </w:tr>
      <w:tr w14:paraId="3F1D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2735F950">
            <w:pPr>
              <w:rPr>
                <w:szCs w:val="21"/>
              </w:rPr>
            </w:pPr>
          </w:p>
        </w:tc>
        <w:tc>
          <w:tcPr>
            <w:tcW w:w="1213" w:type="dxa"/>
            <w:vMerge w:val="continue"/>
            <w:vAlign w:val="center"/>
          </w:tcPr>
          <w:p w14:paraId="26330491">
            <w:pPr>
              <w:rPr>
                <w:szCs w:val="21"/>
              </w:rPr>
            </w:pPr>
          </w:p>
        </w:tc>
        <w:tc>
          <w:tcPr>
            <w:tcW w:w="1840" w:type="dxa"/>
            <w:vMerge w:val="continue"/>
            <w:vAlign w:val="center"/>
          </w:tcPr>
          <w:p w14:paraId="0B0E3A97">
            <w:pPr>
              <w:rPr>
                <w:szCs w:val="21"/>
              </w:rPr>
            </w:pPr>
          </w:p>
        </w:tc>
        <w:tc>
          <w:tcPr>
            <w:tcW w:w="818" w:type="dxa"/>
            <w:vAlign w:val="center"/>
          </w:tcPr>
          <w:p w14:paraId="0137D982">
            <w:pPr>
              <w:rPr>
                <w:szCs w:val="21"/>
              </w:rPr>
            </w:pPr>
            <w:r>
              <w:rPr>
                <w:rFonts w:hint="eastAsia"/>
                <w:szCs w:val="21"/>
              </w:rPr>
              <w:t>数量</w:t>
            </w:r>
          </w:p>
        </w:tc>
        <w:tc>
          <w:tcPr>
            <w:tcW w:w="1241" w:type="dxa"/>
            <w:vAlign w:val="center"/>
          </w:tcPr>
          <w:p w14:paraId="2BD0DB47">
            <w:pPr>
              <w:jc w:val="center"/>
              <w:rPr>
                <w:szCs w:val="21"/>
              </w:rPr>
            </w:pPr>
            <w:r>
              <w:rPr>
                <w:rFonts w:hint="eastAsia"/>
                <w:szCs w:val="21"/>
              </w:rPr>
              <w:t>投标单价（元）</w:t>
            </w:r>
          </w:p>
        </w:tc>
        <w:tc>
          <w:tcPr>
            <w:tcW w:w="2292" w:type="dxa"/>
            <w:vAlign w:val="center"/>
          </w:tcPr>
          <w:p w14:paraId="66BDA317">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746F46FB">
            <w:pPr>
              <w:rPr>
                <w:szCs w:val="21"/>
              </w:rPr>
            </w:pPr>
          </w:p>
        </w:tc>
        <w:tc>
          <w:tcPr>
            <w:tcW w:w="720" w:type="dxa"/>
            <w:vMerge w:val="continue"/>
            <w:vAlign w:val="center"/>
          </w:tcPr>
          <w:p w14:paraId="68367D37">
            <w:pPr>
              <w:rPr>
                <w:szCs w:val="21"/>
              </w:rPr>
            </w:pPr>
          </w:p>
        </w:tc>
      </w:tr>
      <w:tr w14:paraId="75AC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1E7BBB1">
            <w:pPr>
              <w:jc w:val="center"/>
              <w:rPr>
                <w:rFonts w:ascii="宋体" w:hAnsi="宋体"/>
                <w:szCs w:val="21"/>
              </w:rPr>
            </w:pPr>
            <w:r>
              <w:rPr>
                <w:rFonts w:hint="eastAsia" w:ascii="宋体" w:hAnsi="宋体"/>
                <w:szCs w:val="21"/>
              </w:rPr>
              <w:t>1</w:t>
            </w:r>
          </w:p>
        </w:tc>
        <w:tc>
          <w:tcPr>
            <w:tcW w:w="1213" w:type="dxa"/>
            <w:vAlign w:val="center"/>
          </w:tcPr>
          <w:p w14:paraId="76BD873B">
            <w:pPr>
              <w:jc w:val="center"/>
              <w:rPr>
                <w:szCs w:val="21"/>
              </w:rPr>
            </w:pPr>
          </w:p>
        </w:tc>
        <w:tc>
          <w:tcPr>
            <w:tcW w:w="1840" w:type="dxa"/>
            <w:vAlign w:val="center"/>
          </w:tcPr>
          <w:p w14:paraId="79574881">
            <w:pPr>
              <w:jc w:val="center"/>
              <w:rPr>
                <w:szCs w:val="21"/>
              </w:rPr>
            </w:pPr>
          </w:p>
        </w:tc>
        <w:tc>
          <w:tcPr>
            <w:tcW w:w="818" w:type="dxa"/>
            <w:vAlign w:val="center"/>
          </w:tcPr>
          <w:p w14:paraId="47DFE8C1">
            <w:pPr>
              <w:jc w:val="center"/>
              <w:rPr>
                <w:szCs w:val="21"/>
              </w:rPr>
            </w:pPr>
          </w:p>
        </w:tc>
        <w:tc>
          <w:tcPr>
            <w:tcW w:w="1241" w:type="dxa"/>
            <w:vAlign w:val="center"/>
          </w:tcPr>
          <w:p w14:paraId="190E48F5">
            <w:pPr>
              <w:jc w:val="center"/>
              <w:rPr>
                <w:szCs w:val="21"/>
              </w:rPr>
            </w:pPr>
          </w:p>
        </w:tc>
        <w:tc>
          <w:tcPr>
            <w:tcW w:w="2292" w:type="dxa"/>
            <w:vAlign w:val="center"/>
          </w:tcPr>
          <w:p w14:paraId="58A7B969">
            <w:pPr>
              <w:jc w:val="center"/>
              <w:rPr>
                <w:szCs w:val="21"/>
              </w:rPr>
            </w:pPr>
          </w:p>
        </w:tc>
        <w:tc>
          <w:tcPr>
            <w:tcW w:w="1503" w:type="dxa"/>
            <w:vAlign w:val="center"/>
          </w:tcPr>
          <w:p w14:paraId="174DBC0A">
            <w:pPr>
              <w:jc w:val="center"/>
              <w:rPr>
                <w:szCs w:val="21"/>
              </w:rPr>
            </w:pPr>
          </w:p>
        </w:tc>
        <w:tc>
          <w:tcPr>
            <w:tcW w:w="720" w:type="dxa"/>
            <w:vAlign w:val="center"/>
          </w:tcPr>
          <w:p w14:paraId="3D429B86">
            <w:pPr>
              <w:jc w:val="center"/>
              <w:rPr>
                <w:szCs w:val="21"/>
              </w:rPr>
            </w:pPr>
          </w:p>
        </w:tc>
      </w:tr>
      <w:tr w14:paraId="01D1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FF30C3F">
            <w:pPr>
              <w:jc w:val="center"/>
              <w:rPr>
                <w:rFonts w:ascii="宋体" w:hAnsi="宋体"/>
                <w:szCs w:val="21"/>
              </w:rPr>
            </w:pPr>
            <w:r>
              <w:rPr>
                <w:rFonts w:hint="eastAsia" w:ascii="宋体" w:hAnsi="宋体"/>
                <w:szCs w:val="21"/>
              </w:rPr>
              <w:t>2</w:t>
            </w:r>
          </w:p>
        </w:tc>
        <w:tc>
          <w:tcPr>
            <w:tcW w:w="1213" w:type="dxa"/>
            <w:vAlign w:val="center"/>
          </w:tcPr>
          <w:p w14:paraId="24515790">
            <w:pPr>
              <w:jc w:val="center"/>
              <w:rPr>
                <w:szCs w:val="21"/>
              </w:rPr>
            </w:pPr>
          </w:p>
        </w:tc>
        <w:tc>
          <w:tcPr>
            <w:tcW w:w="1840" w:type="dxa"/>
            <w:vAlign w:val="center"/>
          </w:tcPr>
          <w:p w14:paraId="28785FEC">
            <w:pPr>
              <w:jc w:val="center"/>
              <w:rPr>
                <w:szCs w:val="21"/>
              </w:rPr>
            </w:pPr>
          </w:p>
        </w:tc>
        <w:tc>
          <w:tcPr>
            <w:tcW w:w="818" w:type="dxa"/>
            <w:vAlign w:val="center"/>
          </w:tcPr>
          <w:p w14:paraId="53A15679">
            <w:pPr>
              <w:jc w:val="center"/>
              <w:rPr>
                <w:szCs w:val="21"/>
              </w:rPr>
            </w:pPr>
          </w:p>
        </w:tc>
        <w:tc>
          <w:tcPr>
            <w:tcW w:w="1241" w:type="dxa"/>
            <w:vAlign w:val="center"/>
          </w:tcPr>
          <w:p w14:paraId="393ACEA2">
            <w:pPr>
              <w:jc w:val="center"/>
              <w:rPr>
                <w:szCs w:val="21"/>
              </w:rPr>
            </w:pPr>
          </w:p>
        </w:tc>
        <w:tc>
          <w:tcPr>
            <w:tcW w:w="2292" w:type="dxa"/>
            <w:vAlign w:val="center"/>
          </w:tcPr>
          <w:p w14:paraId="1A53BCBB">
            <w:pPr>
              <w:jc w:val="center"/>
              <w:rPr>
                <w:szCs w:val="21"/>
              </w:rPr>
            </w:pPr>
          </w:p>
        </w:tc>
        <w:tc>
          <w:tcPr>
            <w:tcW w:w="1503" w:type="dxa"/>
            <w:vAlign w:val="center"/>
          </w:tcPr>
          <w:p w14:paraId="71869F78">
            <w:pPr>
              <w:jc w:val="center"/>
              <w:rPr>
                <w:szCs w:val="21"/>
              </w:rPr>
            </w:pPr>
          </w:p>
        </w:tc>
        <w:tc>
          <w:tcPr>
            <w:tcW w:w="720" w:type="dxa"/>
            <w:vAlign w:val="center"/>
          </w:tcPr>
          <w:p w14:paraId="10FC237A">
            <w:pPr>
              <w:jc w:val="center"/>
              <w:rPr>
                <w:szCs w:val="21"/>
              </w:rPr>
            </w:pPr>
          </w:p>
        </w:tc>
      </w:tr>
    </w:tbl>
    <w:p w14:paraId="75D56716">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4206A373">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0E42611C">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1A69F32A">
      <w:pPr>
        <w:adjustRightInd w:val="0"/>
        <w:snapToGrid w:val="0"/>
        <w:spacing w:line="360" w:lineRule="auto"/>
        <w:ind w:firstLine="600"/>
        <w:jc w:val="left"/>
      </w:pPr>
    </w:p>
    <w:p w14:paraId="5C790D62">
      <w:pPr>
        <w:pStyle w:val="46"/>
        <w:spacing w:before="0" w:beforeAutospacing="0" w:after="0" w:afterAutospacing="0" w:line="560" w:lineRule="atLeast"/>
        <w:jc w:val="center"/>
        <w:textAlignment w:val="baseline"/>
        <w:rPr>
          <w:rFonts w:ascii="宋体" w:hAnsi="宋体" w:cs="宋体"/>
          <w:sz w:val="28"/>
          <w:szCs w:val="28"/>
        </w:rPr>
      </w:pPr>
      <w:r>
        <w:rPr>
          <w:rStyle w:val="54"/>
          <w:rFonts w:hint="eastAsia" w:ascii="宋体" w:hAnsi="宋体" w:cs="宋体"/>
          <w:color w:val="000000"/>
          <w:sz w:val="28"/>
          <w:szCs w:val="28"/>
          <w:shd w:val="clear" w:color="auto" w:fill="FFFFFF"/>
        </w:rPr>
        <w:t>关于符合本国产品标准的声明函</w:t>
      </w:r>
    </w:p>
    <w:p w14:paraId="65D5B92B">
      <w:pPr>
        <w:pStyle w:val="46"/>
        <w:spacing w:before="0" w:beforeAutospacing="0" w:after="0" w:afterAutospacing="0" w:line="560" w:lineRule="atLeast"/>
        <w:ind w:firstLine="420"/>
        <w:textAlignment w:val="baseline"/>
        <w:rPr>
          <w:rFonts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EC55A6C">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1.</w:t>
      </w:r>
      <w:r>
        <w:rPr>
          <w:rStyle w:val="57"/>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7"/>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7"/>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7"/>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7"/>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46C88AB5">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2.</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7"/>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7"/>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7"/>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7"/>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7"/>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3EBDD8B6">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w:t>
      </w:r>
    </w:p>
    <w:p w14:paraId="36314406">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614EE760">
      <w:pPr>
        <w:pStyle w:val="46"/>
        <w:spacing w:before="0" w:beforeAutospacing="0" w:after="0" w:afterAutospacing="0" w:line="560" w:lineRule="atLeast"/>
        <w:textAlignment w:val="baseline"/>
        <w:rPr>
          <w:rFonts w:ascii="宋体" w:hAnsi="宋体" w:cs="宋体"/>
          <w:sz w:val="21"/>
          <w:szCs w:val="21"/>
        </w:rPr>
      </w:pPr>
      <w:r>
        <w:rPr>
          <w:rFonts w:hint="eastAsia" w:ascii="宋体" w:hAnsi="宋体" w:cs="宋体"/>
          <w:color w:val="000000"/>
          <w:sz w:val="21"/>
          <w:szCs w:val="21"/>
          <w:shd w:val="clear" w:color="auto" w:fill="FFFFFF"/>
        </w:rPr>
        <w:t> </w:t>
      </w:r>
    </w:p>
    <w:p w14:paraId="448A7BA9">
      <w:pPr>
        <w:pStyle w:val="46"/>
        <w:spacing w:before="0" w:beforeAutospacing="0" w:after="0" w:afterAutospacing="0" w:line="560" w:lineRule="atLeast"/>
        <w:jc w:val="right"/>
        <w:textAlignment w:val="baseline"/>
        <w:rPr>
          <w:rFonts w:ascii="宋体" w:hAnsi="宋体" w:cs="宋体"/>
          <w:sz w:val="21"/>
          <w:szCs w:val="21"/>
        </w:rPr>
      </w:pPr>
      <w:r>
        <w:rPr>
          <w:rFonts w:hint="eastAsia" w:ascii="宋体" w:hAnsi="宋体" w:cs="宋体"/>
          <w:color w:val="000000"/>
          <w:sz w:val="21"/>
          <w:szCs w:val="21"/>
          <w:shd w:val="clear" w:color="auto" w:fill="FFFFFF"/>
        </w:rPr>
        <w:t>公司（单位）名称（盖章）：　        </w:t>
      </w:r>
    </w:p>
    <w:p w14:paraId="7F8FD6B9">
      <w:pPr>
        <w:pStyle w:val="46"/>
        <w:spacing w:before="0" w:beforeAutospacing="0" w:after="0" w:afterAutospacing="0" w:line="560" w:lineRule="atLeast"/>
        <w:jc w:val="right"/>
        <w:textAlignment w:val="baseline"/>
        <w:rPr>
          <w:rFonts w:ascii="宋体" w:hAnsi="宋体" w:cs="宋体"/>
          <w:sz w:val="21"/>
          <w:szCs w:val="21"/>
        </w:rPr>
      </w:pPr>
      <w:r>
        <w:rPr>
          <w:rFonts w:hint="eastAsia" w:ascii="宋体" w:hAnsi="宋体" w:cs="宋体"/>
          <w:color w:val="000000"/>
          <w:sz w:val="21"/>
          <w:szCs w:val="21"/>
          <w:shd w:val="clear" w:color="auto" w:fill="FFFFFF"/>
        </w:rPr>
        <w:t>日期：　     年　  月　  日         </w:t>
      </w:r>
    </w:p>
    <w:p w14:paraId="1116F04E">
      <w:pPr>
        <w:pStyle w:val="46"/>
        <w:spacing w:before="0" w:beforeAutospacing="0" w:after="0" w:afterAutospacing="0" w:line="560" w:lineRule="atLeast"/>
        <w:textAlignment w:val="baseline"/>
        <w:rPr>
          <w:rFonts w:ascii="宋体" w:hAnsi="宋体" w:cs="宋体"/>
          <w:sz w:val="21"/>
          <w:szCs w:val="21"/>
        </w:rPr>
      </w:pPr>
      <w:r>
        <w:rPr>
          <w:rFonts w:hint="eastAsia" w:ascii="宋体" w:hAnsi="宋体" w:cs="宋体"/>
          <w:color w:val="000000"/>
          <w:sz w:val="21"/>
          <w:szCs w:val="21"/>
          <w:shd w:val="clear" w:color="auto" w:fill="FFFFFF"/>
        </w:rPr>
        <w:t>__________________</w:t>
      </w:r>
    </w:p>
    <w:p w14:paraId="7B8BFDEB">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E55A494">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65F134E5">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51B1752F">
      <w:pPr>
        <w:pStyle w:val="46"/>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1FFFA588">
      <w:pPr>
        <w:pStyle w:val="46"/>
        <w:spacing w:before="0" w:beforeAutospacing="0" w:after="0" w:afterAutospacing="0" w:line="560" w:lineRule="atLeast"/>
        <w:ind w:firstLine="420"/>
        <w:textAlignment w:val="baseline"/>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4307F5B5">
      <w:pPr>
        <w:pStyle w:val="46"/>
        <w:spacing w:before="0" w:beforeAutospacing="0" w:after="0" w:afterAutospacing="0" w:line="560" w:lineRule="atLeast"/>
        <w:ind w:firstLine="420"/>
        <w:textAlignment w:val="baseline"/>
        <w:rPr>
          <w:rFonts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4D3F494B">
      <w:pPr>
        <w:spacing w:line="360" w:lineRule="auto"/>
        <w:ind w:firstLine="420"/>
        <w:jc w:val="left"/>
        <w:rPr>
          <w:rFonts w:ascii="宋体" w:hAnsi="宋体"/>
          <w:szCs w:val="21"/>
        </w:rPr>
      </w:pPr>
    </w:p>
    <w:p w14:paraId="16057663">
      <w:pPr>
        <w:adjustRightInd w:val="0"/>
        <w:snapToGrid w:val="0"/>
        <w:spacing w:line="360" w:lineRule="auto"/>
        <w:ind w:firstLine="600"/>
        <w:jc w:val="right"/>
      </w:pPr>
    </w:p>
    <w:p w14:paraId="7DEA3349">
      <w:pPr>
        <w:widowControl/>
        <w:jc w:val="left"/>
        <w:rPr>
          <w:b/>
          <w:snapToGrid w:val="0"/>
          <w:kern w:val="0"/>
          <w:sz w:val="28"/>
        </w:rPr>
      </w:pPr>
      <w:r>
        <w:rPr>
          <w:b/>
          <w:snapToGrid w:val="0"/>
          <w:kern w:val="0"/>
          <w:sz w:val="28"/>
        </w:rPr>
        <w:br w:type="page"/>
      </w:r>
    </w:p>
    <w:p w14:paraId="4C64E9CB">
      <w:pPr>
        <w:adjustRightInd w:val="0"/>
        <w:snapToGrid w:val="0"/>
        <w:spacing w:line="360" w:lineRule="auto"/>
        <w:jc w:val="left"/>
      </w:pPr>
    </w:p>
    <w:p w14:paraId="738C12F8">
      <w:pPr>
        <w:pStyle w:val="3"/>
        <w:tabs>
          <w:tab w:val="left" w:pos="371"/>
        </w:tabs>
        <w:spacing w:before="120" w:after="120"/>
        <w:ind w:left="-1" w:leftChars="-1" w:hanging="1"/>
        <w:jc w:val="center"/>
        <w:rPr>
          <w:rFonts w:asciiTheme="minorEastAsia" w:hAnsiTheme="minorEastAsia" w:eastAsiaTheme="minorEastAsia"/>
        </w:rPr>
      </w:pPr>
      <w:bookmarkStart w:id="56" w:name="_Toc44691165"/>
      <w:bookmarkStart w:id="57" w:name="_Toc135293347"/>
      <w:bookmarkStart w:id="58" w:name="_Toc44690433"/>
      <w:bookmarkStart w:id="59" w:name="_Toc13154"/>
      <w:bookmarkStart w:id="60" w:name="_Toc44691397"/>
      <w:bookmarkStart w:id="61" w:name="_Toc44690706"/>
      <w:r>
        <w:rPr>
          <w:rFonts w:hint="eastAsia" w:asciiTheme="minorEastAsia" w:hAnsiTheme="minorEastAsia" w:eastAsiaTheme="minorEastAsia"/>
        </w:rPr>
        <w:t>格式5  开标一览表</w:t>
      </w:r>
      <w:bookmarkEnd w:id="56"/>
      <w:bookmarkEnd w:id="57"/>
      <w:bookmarkEnd w:id="58"/>
      <w:bookmarkEnd w:id="59"/>
      <w:bookmarkEnd w:id="60"/>
      <w:bookmarkEnd w:id="61"/>
    </w:p>
    <w:p w14:paraId="3302B8F0">
      <w:pPr>
        <w:adjustRightInd w:val="0"/>
        <w:snapToGrid w:val="0"/>
        <w:spacing w:line="360" w:lineRule="auto"/>
        <w:rPr>
          <w:bCs/>
          <w:snapToGrid w:val="0"/>
          <w:kern w:val="0"/>
        </w:rPr>
      </w:pPr>
    </w:p>
    <w:p w14:paraId="33DFD115">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2D4BEA70">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4396"/>
        <w:gridCol w:w="2261"/>
      </w:tblGrid>
      <w:tr w14:paraId="1AFDE5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976" w:type="dxa"/>
            <w:tcBorders>
              <w:top w:val="double" w:color="auto" w:sz="4" w:space="0"/>
              <w:bottom w:val="single" w:color="auto" w:sz="4" w:space="0"/>
            </w:tcBorders>
            <w:vAlign w:val="center"/>
          </w:tcPr>
          <w:p w14:paraId="0781A3D0">
            <w:pPr>
              <w:adjustRightInd w:val="0"/>
              <w:snapToGrid w:val="0"/>
              <w:spacing w:line="360" w:lineRule="auto"/>
              <w:jc w:val="center"/>
              <w:rPr>
                <w:snapToGrid w:val="0"/>
                <w:kern w:val="0"/>
              </w:rPr>
            </w:pPr>
            <w:r>
              <w:rPr>
                <w:snapToGrid w:val="0"/>
                <w:kern w:val="0"/>
              </w:rPr>
              <w:t>项目名称</w:t>
            </w:r>
          </w:p>
        </w:tc>
        <w:tc>
          <w:tcPr>
            <w:tcW w:w="4396" w:type="dxa"/>
            <w:tcBorders>
              <w:top w:val="double" w:color="auto" w:sz="4" w:space="0"/>
              <w:bottom w:val="single" w:color="auto" w:sz="4" w:space="0"/>
            </w:tcBorders>
            <w:vAlign w:val="center"/>
          </w:tcPr>
          <w:p w14:paraId="5D6694B0">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3B963333">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2C751BF">
            <w:pPr>
              <w:adjustRightInd w:val="0"/>
              <w:snapToGrid w:val="0"/>
              <w:spacing w:line="360" w:lineRule="auto"/>
              <w:jc w:val="center"/>
              <w:rPr>
                <w:snapToGrid w:val="0"/>
                <w:kern w:val="0"/>
              </w:rPr>
            </w:pPr>
            <w:r>
              <w:rPr>
                <w:rFonts w:hint="eastAsia"/>
                <w:snapToGrid w:val="0"/>
                <w:kern w:val="0"/>
              </w:rPr>
              <w:t>备注</w:t>
            </w:r>
          </w:p>
        </w:tc>
      </w:tr>
      <w:tr w14:paraId="35E22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976" w:type="dxa"/>
            <w:tcBorders>
              <w:top w:val="single" w:color="auto" w:sz="4" w:space="0"/>
            </w:tcBorders>
            <w:vAlign w:val="center"/>
          </w:tcPr>
          <w:p w14:paraId="40AB1783">
            <w:pPr>
              <w:adjustRightInd w:val="0"/>
              <w:snapToGrid w:val="0"/>
              <w:spacing w:line="360" w:lineRule="auto"/>
              <w:jc w:val="center"/>
            </w:pPr>
            <w:r>
              <w:rPr>
                <w:rFonts w:hint="eastAsia" w:asciiTheme="minorEastAsia" w:hAnsiTheme="minorEastAsia" w:eastAsiaTheme="minorEastAsia"/>
              </w:rPr>
              <w:t>皇岗海关新皇岗口岸手持式化学探测器采购项目</w:t>
            </w:r>
          </w:p>
        </w:tc>
        <w:tc>
          <w:tcPr>
            <w:tcW w:w="4396" w:type="dxa"/>
            <w:tcBorders>
              <w:top w:val="single" w:color="auto" w:sz="4" w:space="0"/>
            </w:tcBorders>
            <w:vAlign w:val="center"/>
          </w:tcPr>
          <w:p w14:paraId="672B24C4">
            <w:pPr>
              <w:adjustRightInd w:val="0"/>
              <w:snapToGrid w:val="0"/>
              <w:spacing w:line="360" w:lineRule="auto"/>
              <w:rPr>
                <w:snapToGrid w:val="0"/>
                <w:kern w:val="0"/>
                <w:u w:val="single"/>
              </w:rPr>
            </w:pPr>
            <w:r>
              <w:rPr>
                <w:rFonts w:hint="eastAsia"/>
                <w:snapToGrid w:val="0"/>
                <w:kern w:val="0"/>
                <w:u w:val="single"/>
              </w:rPr>
              <w:t xml:space="preserve">大写：                  </w:t>
            </w:r>
          </w:p>
          <w:p w14:paraId="5492D3F5">
            <w:pPr>
              <w:adjustRightInd w:val="0"/>
              <w:snapToGrid w:val="0"/>
              <w:spacing w:line="360" w:lineRule="auto"/>
              <w:rPr>
                <w:snapToGrid w:val="0"/>
                <w:kern w:val="0"/>
                <w:u w:val="single"/>
              </w:rPr>
            </w:pPr>
            <w:r>
              <w:rPr>
                <w:rFonts w:hint="eastAsia"/>
                <w:snapToGrid w:val="0"/>
                <w:kern w:val="0"/>
                <w:u w:val="single"/>
              </w:rPr>
              <w:t xml:space="preserve">小写：                  </w:t>
            </w:r>
          </w:p>
        </w:tc>
        <w:tc>
          <w:tcPr>
            <w:tcW w:w="2261" w:type="dxa"/>
            <w:tcBorders>
              <w:top w:val="single" w:color="auto" w:sz="4" w:space="0"/>
            </w:tcBorders>
            <w:vAlign w:val="center"/>
          </w:tcPr>
          <w:p w14:paraId="04BBF714">
            <w:pPr>
              <w:adjustRightInd w:val="0"/>
              <w:snapToGrid w:val="0"/>
              <w:spacing w:line="360" w:lineRule="auto"/>
              <w:jc w:val="center"/>
              <w:rPr>
                <w:snapToGrid w:val="0"/>
                <w:kern w:val="0"/>
              </w:rPr>
            </w:pPr>
          </w:p>
        </w:tc>
      </w:tr>
    </w:tbl>
    <w:p w14:paraId="1DA70D8C">
      <w:pPr>
        <w:adjustRightInd w:val="0"/>
        <w:snapToGrid w:val="0"/>
        <w:spacing w:line="360" w:lineRule="auto"/>
        <w:rPr>
          <w:snapToGrid w:val="0"/>
          <w:kern w:val="0"/>
        </w:rPr>
      </w:pPr>
    </w:p>
    <w:p w14:paraId="7EF036BB">
      <w:pPr>
        <w:adjustRightInd w:val="0"/>
        <w:snapToGrid w:val="0"/>
        <w:spacing w:line="360" w:lineRule="auto"/>
        <w:rPr>
          <w:snapToGrid w:val="0"/>
          <w:kern w:val="0"/>
        </w:rPr>
      </w:pPr>
    </w:p>
    <w:p w14:paraId="005B96CD">
      <w:pPr>
        <w:adjustRightInd w:val="0"/>
        <w:snapToGrid w:val="0"/>
        <w:spacing w:line="360" w:lineRule="auto"/>
        <w:rPr>
          <w:snapToGrid w:val="0"/>
          <w:kern w:val="0"/>
        </w:rPr>
      </w:pPr>
      <w:r>
        <w:rPr>
          <w:snapToGrid w:val="0"/>
          <w:kern w:val="0"/>
        </w:rPr>
        <w:t>投标单位：（盖章）</w:t>
      </w:r>
    </w:p>
    <w:p w14:paraId="0D1CD366">
      <w:pPr>
        <w:adjustRightInd w:val="0"/>
        <w:snapToGrid w:val="0"/>
        <w:spacing w:line="360" w:lineRule="auto"/>
        <w:rPr>
          <w:snapToGrid w:val="0"/>
          <w:kern w:val="0"/>
        </w:rPr>
      </w:pPr>
    </w:p>
    <w:p w14:paraId="497329F0">
      <w:pPr>
        <w:adjustRightInd w:val="0"/>
        <w:snapToGrid w:val="0"/>
        <w:spacing w:line="360" w:lineRule="auto"/>
        <w:rPr>
          <w:snapToGrid w:val="0"/>
          <w:kern w:val="0"/>
        </w:rPr>
      </w:pPr>
    </w:p>
    <w:p w14:paraId="62AA713D">
      <w:pPr>
        <w:adjustRightInd w:val="0"/>
        <w:snapToGrid w:val="0"/>
        <w:spacing w:line="360" w:lineRule="auto"/>
        <w:ind w:firstLine="6825" w:firstLineChars="3250"/>
        <w:rPr>
          <w:snapToGrid w:val="0"/>
          <w:kern w:val="0"/>
        </w:rPr>
      </w:pPr>
      <w:r>
        <w:rPr>
          <w:snapToGrid w:val="0"/>
          <w:kern w:val="0"/>
        </w:rPr>
        <w:t>年    月    日</w:t>
      </w:r>
    </w:p>
    <w:p w14:paraId="5B856E5E">
      <w:pPr>
        <w:adjustRightInd w:val="0"/>
        <w:snapToGrid w:val="0"/>
        <w:spacing w:line="360" w:lineRule="auto"/>
        <w:ind w:firstLine="1050" w:firstLineChars="500"/>
        <w:rPr>
          <w:snapToGrid w:val="0"/>
          <w:kern w:val="0"/>
        </w:rPr>
      </w:pPr>
    </w:p>
    <w:p w14:paraId="7475A5F3">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p>
    <w:p w14:paraId="1A2CADF8">
      <w:pPr>
        <w:adjustRightInd w:val="0"/>
        <w:spacing w:line="312" w:lineRule="auto"/>
        <w:ind w:left="2" w:firstLine="424" w:firstLineChars="202"/>
        <w:rPr>
          <w:rFonts w:ascii="宋体" w:hAnsi="宋体"/>
          <w:bCs/>
        </w:rPr>
      </w:pPr>
      <w:r>
        <w:rPr>
          <w:rFonts w:ascii="宋体" w:hAnsi="宋体"/>
          <w:bCs/>
        </w:rPr>
        <w:t>2、</w:t>
      </w:r>
      <w:r>
        <w:rPr>
          <w:rFonts w:hint="eastAsia" w:ascii="宋体" w:hAnsi="宋体" w:cs="宋体"/>
        </w:rPr>
        <w:t>本项目报价费用采用包干制，报价包含但不限于设备采购、包装、运输、保险、调试、培训等风险（包括损坏、灭失等）一切费用。如出现任何遗漏内容需产生额外费用，均由中标单位自行承担，采购单位将不再另支付任何费用。一经中标，投标报价总价作为中标单位与采购单位签订的合同金额，合同期限内不做调整</w:t>
      </w:r>
      <w:r>
        <w:rPr>
          <w:rFonts w:hint="eastAsia" w:ascii="宋体" w:hAnsi="宋体"/>
          <w:bCs/>
        </w:rPr>
        <w:t>。</w:t>
      </w:r>
    </w:p>
    <w:p w14:paraId="7B62EA4C">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9924892">
      <w:pPr>
        <w:adjustRightInd w:val="0"/>
        <w:spacing w:line="312" w:lineRule="auto"/>
        <w:ind w:firstLine="437"/>
      </w:pPr>
      <w:r>
        <w:rPr>
          <w:rFonts w:hint="eastAsia" w:ascii="宋体" w:hAnsi="宋体"/>
          <w:b/>
          <w:snapToGrid w:val="0"/>
          <w:kern w:val="0"/>
          <w:sz w:val="24"/>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w:t>
      </w:r>
      <w:r>
        <w:rPr>
          <w:rFonts w:hint="eastAsia" w:ascii="宋体" w:hAnsi="宋体"/>
          <w:b/>
          <w:snapToGrid w:val="0"/>
          <w:kern w:val="0"/>
          <w:sz w:val="24"/>
        </w:rPr>
        <w:t>通用部分</w:t>
      </w:r>
      <w:r>
        <w:rPr>
          <w:rFonts w:ascii="宋体" w:hAnsi="宋体"/>
          <w:b/>
          <w:snapToGrid w:val="0"/>
          <w:kern w:val="0"/>
          <w:sz w:val="24"/>
        </w:rPr>
        <w:t>”18.</w:t>
      </w:r>
      <w:r>
        <w:rPr>
          <w:rFonts w:hint="eastAsia" w:ascii="宋体" w:hAnsi="宋体"/>
          <w:b/>
          <w:snapToGrid w:val="0"/>
          <w:kern w:val="0"/>
          <w:sz w:val="24"/>
        </w:rPr>
        <w:t>4</w:t>
      </w:r>
      <w:r>
        <w:rPr>
          <w:rFonts w:ascii="宋体" w:hAnsi="宋体"/>
          <w:b/>
          <w:snapToGrid w:val="0"/>
          <w:kern w:val="0"/>
          <w:sz w:val="24"/>
        </w:rPr>
        <w:t>项要求单独密封。</w:t>
      </w:r>
    </w:p>
    <w:p w14:paraId="77CEF84D">
      <w:pPr>
        <w:pStyle w:val="29"/>
        <w:adjustRightInd w:val="0"/>
        <w:snapToGrid w:val="0"/>
        <w:spacing w:line="312" w:lineRule="auto"/>
        <w:jc w:val="center"/>
        <w:rPr>
          <w:rFonts w:ascii="Times New Roman" w:hAnsi="Times New Roman"/>
          <w:b/>
          <w:sz w:val="28"/>
        </w:rPr>
      </w:pPr>
    </w:p>
    <w:p w14:paraId="1D7DE7E4"/>
    <w:p w14:paraId="2B8C4B49"/>
    <w:p w14:paraId="2F3E0DF5"/>
    <w:p w14:paraId="68AC088E"/>
    <w:p w14:paraId="28FA846E"/>
    <w:p w14:paraId="30FE4AED"/>
    <w:p w14:paraId="430E1ABA">
      <w:pPr>
        <w:pStyle w:val="3"/>
        <w:tabs>
          <w:tab w:val="left" w:pos="371"/>
        </w:tabs>
        <w:spacing w:before="120" w:after="120"/>
        <w:ind w:left="-1" w:leftChars="-1" w:hanging="1"/>
        <w:jc w:val="center"/>
        <w:rPr>
          <w:rFonts w:asciiTheme="minorEastAsia" w:hAnsiTheme="minorEastAsia" w:eastAsiaTheme="minorEastAsia"/>
        </w:rPr>
      </w:pPr>
      <w:bookmarkStart w:id="62" w:name="_Toc44691398"/>
      <w:bookmarkStart w:id="63" w:name="_Toc44690707"/>
      <w:bookmarkStart w:id="64" w:name="_Toc29159"/>
      <w:bookmarkStart w:id="65" w:name="_Toc135293348"/>
      <w:bookmarkStart w:id="66" w:name="_Toc44690434"/>
      <w:bookmarkStart w:id="67" w:name="_Toc44691166"/>
      <w:r>
        <w:rPr>
          <w:rFonts w:hint="eastAsia" w:asciiTheme="minorEastAsia" w:hAnsiTheme="minorEastAsia" w:eastAsiaTheme="minorEastAsia"/>
        </w:rPr>
        <w:t>格式6  报价表</w:t>
      </w:r>
      <w:bookmarkEnd w:id="62"/>
      <w:bookmarkEnd w:id="63"/>
      <w:bookmarkEnd w:id="64"/>
      <w:bookmarkEnd w:id="65"/>
      <w:bookmarkEnd w:id="66"/>
      <w:bookmarkEnd w:id="67"/>
    </w:p>
    <w:p w14:paraId="63D8A117">
      <w:pPr>
        <w:spacing w:line="300" w:lineRule="auto"/>
        <w:rPr>
          <w:rFonts w:ascii="楷体_GB2312" w:eastAsia="楷体_GB2312"/>
          <w:b/>
          <w:sz w:val="24"/>
        </w:rPr>
      </w:pPr>
      <w:r>
        <w:rPr>
          <w:rFonts w:hint="eastAsia" w:ascii="楷体_GB2312" w:eastAsia="楷体_GB2312"/>
          <w:b/>
          <w:sz w:val="24"/>
        </w:rPr>
        <w:t>1   报价要求</w:t>
      </w:r>
    </w:p>
    <w:p w14:paraId="0D4F00C2">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5E293721">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本项目报价费用采用包干制，报价包含但不限于设备采购、包装、运输、保险、调试、培训等风险（包括损坏、灭失等）一切费用。如出现任何遗漏内容需产生额外费用，均由中标单位自行承担，采购单位将不再另支付任何费用。一经中标，投标报价总价作为中标单位与采购单位签订的合同金额，合同期限内不做调整。</w:t>
      </w:r>
    </w:p>
    <w:p w14:paraId="1AEBA970">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“分项报价表”应将所有设备报价，并分别列出“品牌、型号、产地及制造厂商”。</w:t>
      </w:r>
    </w:p>
    <w:p w14:paraId="5BE9067C">
      <w:pPr>
        <w:adjustRightInd w:val="0"/>
        <w:snapToGrid w:val="0"/>
        <w:spacing w:line="300" w:lineRule="auto"/>
        <w:rPr>
          <w:snapToGrid w:val="0"/>
          <w:kern w:val="0"/>
        </w:rPr>
      </w:pPr>
    </w:p>
    <w:p w14:paraId="1B28A927">
      <w:pPr>
        <w:spacing w:line="300" w:lineRule="auto"/>
        <w:rPr>
          <w:rFonts w:eastAsia="楷体_GB2312"/>
          <w:b/>
          <w:sz w:val="24"/>
        </w:rPr>
      </w:pPr>
      <w:r>
        <w:rPr>
          <w:rFonts w:hint="eastAsia" w:eastAsia="楷体_GB2312"/>
          <w:b/>
          <w:sz w:val="24"/>
        </w:rPr>
        <w:t>2   报价表</w:t>
      </w:r>
    </w:p>
    <w:p w14:paraId="3B770126">
      <w:pPr>
        <w:adjustRightInd w:val="0"/>
        <w:snapToGrid w:val="0"/>
        <w:spacing w:line="300" w:lineRule="auto"/>
        <w:rPr>
          <w:snapToGrid w:val="0"/>
          <w:kern w:val="0"/>
        </w:rPr>
      </w:pPr>
    </w:p>
    <w:p w14:paraId="7E1BCC29">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w:t>
      </w:r>
      <w:r>
        <w:rPr>
          <w:rFonts w:hint="eastAsia" w:asciiTheme="minorEastAsia" w:hAnsiTheme="minorEastAsia" w:eastAsiaTheme="minorEastAsia"/>
          <w:snapToGrid w:val="0"/>
          <w:kern w:val="0"/>
          <w:sz w:val="24"/>
        </w:rPr>
        <w:t>报价</w:t>
      </w:r>
      <w:r>
        <w:rPr>
          <w:rFonts w:asciiTheme="minorEastAsia" w:hAnsiTheme="minorEastAsia" w:eastAsiaTheme="minorEastAsia"/>
          <w:snapToGrid w:val="0"/>
          <w:kern w:val="0"/>
          <w:sz w:val="24"/>
        </w:rPr>
        <w:t>表</w:t>
      </w:r>
    </w:p>
    <w:tbl>
      <w:tblPr>
        <w:tblStyle w:val="51"/>
        <w:tblW w:w="1095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821"/>
        <w:gridCol w:w="709"/>
        <w:gridCol w:w="851"/>
        <w:gridCol w:w="1417"/>
        <w:gridCol w:w="992"/>
        <w:gridCol w:w="651"/>
        <w:gridCol w:w="725"/>
        <w:gridCol w:w="709"/>
        <w:gridCol w:w="773"/>
        <w:gridCol w:w="980"/>
        <w:gridCol w:w="657"/>
      </w:tblGrid>
      <w:tr w14:paraId="4B9AD9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3DACAB8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821" w:type="dxa"/>
            <w:vAlign w:val="center"/>
          </w:tcPr>
          <w:p w14:paraId="33EB822A">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709" w:type="dxa"/>
            <w:vAlign w:val="center"/>
          </w:tcPr>
          <w:p w14:paraId="035B6D5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51" w:type="dxa"/>
            <w:vAlign w:val="center"/>
          </w:tcPr>
          <w:p w14:paraId="37F81F9C">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417" w:type="dxa"/>
            <w:vAlign w:val="center"/>
          </w:tcPr>
          <w:p w14:paraId="0407E60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07E2FE61">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6A0C442">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6EA76EC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3B0D64A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2A5A4BCA">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42C1B902">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3EF66BB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r>
      <w:tr w14:paraId="2C5644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3858DB2A">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821" w:type="dxa"/>
            <w:vAlign w:val="center"/>
          </w:tcPr>
          <w:p w14:paraId="0152C852">
            <w:pPr>
              <w:widowControl/>
              <w:spacing w:line="360" w:lineRule="auto"/>
              <w:jc w:val="center"/>
              <w:rPr>
                <w:rFonts w:cs="宋体" w:asciiTheme="minorEastAsia" w:hAnsiTheme="minorEastAsia" w:eastAsiaTheme="minorEastAsia"/>
                <w:kern w:val="0"/>
                <w:szCs w:val="21"/>
              </w:rPr>
            </w:pPr>
          </w:p>
        </w:tc>
        <w:tc>
          <w:tcPr>
            <w:tcW w:w="709" w:type="dxa"/>
            <w:vAlign w:val="center"/>
          </w:tcPr>
          <w:p w14:paraId="7C74B29E">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14:paraId="3EA2CD13">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14:paraId="51BA2781">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0BA89A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626AA20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19B88FE4">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8758087">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C33BFB1">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348DCFA">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64567FD">
            <w:pPr>
              <w:adjustRightInd w:val="0"/>
              <w:snapToGrid w:val="0"/>
              <w:spacing w:line="300" w:lineRule="auto"/>
              <w:jc w:val="center"/>
              <w:rPr>
                <w:rFonts w:asciiTheme="minorEastAsia" w:hAnsiTheme="minorEastAsia" w:eastAsiaTheme="minorEastAsia"/>
                <w:snapToGrid w:val="0"/>
                <w:kern w:val="0"/>
              </w:rPr>
            </w:pPr>
          </w:p>
        </w:tc>
      </w:tr>
      <w:tr w14:paraId="742A0A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54" w:type="dxa"/>
            <w:gridSpan w:val="12"/>
            <w:vAlign w:val="center"/>
          </w:tcPr>
          <w:p w14:paraId="65D570AA">
            <w:pPr>
              <w:adjustRightInd w:val="0"/>
              <w:snapToGrid w:val="0"/>
              <w:spacing w:line="300" w:lineRule="auto"/>
              <w:jc w:val="left"/>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4FCF6E37">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59B4E413">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r>
        <w:rPr>
          <w:rFonts w:hint="eastAsia" w:asciiTheme="minorEastAsia" w:hAnsiTheme="minorEastAsia" w:eastAsiaTheme="minorEastAsia"/>
          <w:b/>
          <w:color w:val="FF0000"/>
        </w:rPr>
        <w:t>本项目不接受进口产品投标，不满足要求的将导致投标无效。</w:t>
      </w:r>
    </w:p>
    <w:p w14:paraId="733827BA">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3、投标总价应为以上各分项价格之和；投标总价和表中单个采购条目报价均不得超过对应的财政预算限额，否则将导致无效投标。</w:t>
      </w:r>
    </w:p>
    <w:p w14:paraId="2606273E">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7FD13016">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035709F2">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6、投标人在报价表中填写的货物名称、品牌、规格型号、制造厂商等信息与产品彩页或产品说明书或技术白皮书等证明材料不一致的，以证明材料相关信息为准。投标人另行澄清更正的除外。</w:t>
      </w:r>
    </w:p>
    <w:p w14:paraId="121CAEDA">
      <w:pPr>
        <w:adjustRightInd w:val="0"/>
        <w:snapToGrid w:val="0"/>
        <w:spacing w:line="300" w:lineRule="auto"/>
        <w:jc w:val="center"/>
        <w:rPr>
          <w:rFonts w:asciiTheme="minorEastAsia" w:hAnsiTheme="minorEastAsia" w:eastAsiaTheme="minorEastAsia"/>
          <w:snapToGrid w:val="0"/>
          <w:kern w:val="0"/>
        </w:rPr>
      </w:pPr>
    </w:p>
    <w:p w14:paraId="4BA3C9D4">
      <w:pPr>
        <w:adjustRightInd w:val="0"/>
        <w:snapToGrid w:val="0"/>
        <w:spacing w:line="300" w:lineRule="auto"/>
        <w:rPr>
          <w:rFonts w:asciiTheme="minorEastAsia" w:hAnsiTheme="minorEastAsia" w:eastAsiaTheme="minorEastAsia"/>
          <w:snapToGrid w:val="0"/>
          <w:kern w:val="0"/>
        </w:rPr>
      </w:pPr>
    </w:p>
    <w:p w14:paraId="465DE5C9">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（二）零配件、消耗品报价明细清单</w:t>
      </w:r>
    </w:p>
    <w:p w14:paraId="1F10BC75">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1"/>
        <w:tblW w:w="789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2670"/>
      </w:tblGrid>
      <w:tr w14:paraId="140ACF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B1FC9EF">
            <w:pPr>
              <w:jc w:val="center"/>
              <w:rPr>
                <w:snapToGrid w:val="0"/>
                <w:color w:val="000000"/>
                <w:kern w:val="0"/>
              </w:rPr>
            </w:pPr>
            <w:r>
              <w:rPr>
                <w:rFonts w:hint="eastAsia" w:ascii="宋体" w:hAnsi="宋体"/>
                <w:kern w:val="0"/>
                <w:szCs w:val="21"/>
              </w:rPr>
              <w:t>序号</w:t>
            </w:r>
          </w:p>
        </w:tc>
        <w:tc>
          <w:tcPr>
            <w:tcW w:w="1136" w:type="dxa"/>
            <w:vAlign w:val="center"/>
          </w:tcPr>
          <w:p w14:paraId="0115E563">
            <w:pPr>
              <w:jc w:val="center"/>
              <w:rPr>
                <w:snapToGrid w:val="0"/>
                <w:kern w:val="0"/>
              </w:rPr>
            </w:pPr>
            <w:r>
              <w:rPr>
                <w:rFonts w:hint="eastAsia" w:ascii="宋体" w:hAnsi="宋体"/>
                <w:kern w:val="0"/>
                <w:szCs w:val="21"/>
              </w:rPr>
              <w:t>耗材名称</w:t>
            </w:r>
          </w:p>
        </w:tc>
        <w:tc>
          <w:tcPr>
            <w:tcW w:w="1843" w:type="dxa"/>
            <w:vAlign w:val="center"/>
          </w:tcPr>
          <w:p w14:paraId="438ADEF7">
            <w:pPr>
              <w:jc w:val="center"/>
              <w:rPr>
                <w:snapToGrid w:val="0"/>
                <w:kern w:val="0"/>
              </w:rPr>
            </w:pPr>
            <w:r>
              <w:rPr>
                <w:rFonts w:hint="eastAsia" w:ascii="宋体" w:hAnsi="宋体"/>
                <w:kern w:val="0"/>
                <w:szCs w:val="21"/>
              </w:rPr>
              <w:t>规格型号</w:t>
            </w:r>
          </w:p>
        </w:tc>
        <w:tc>
          <w:tcPr>
            <w:tcW w:w="1417" w:type="dxa"/>
            <w:vAlign w:val="center"/>
          </w:tcPr>
          <w:p w14:paraId="0B890669">
            <w:pPr>
              <w:jc w:val="center"/>
              <w:rPr>
                <w:snapToGrid w:val="0"/>
                <w:kern w:val="0"/>
              </w:rPr>
            </w:pPr>
            <w:r>
              <w:rPr>
                <w:rFonts w:hint="eastAsia" w:ascii="宋体" w:hAnsi="宋体"/>
                <w:kern w:val="0"/>
                <w:szCs w:val="21"/>
              </w:rPr>
              <w:t>单位</w:t>
            </w:r>
          </w:p>
        </w:tc>
        <w:tc>
          <w:tcPr>
            <w:tcW w:w="2670" w:type="dxa"/>
            <w:vAlign w:val="center"/>
          </w:tcPr>
          <w:p w14:paraId="29ACD9FA">
            <w:pPr>
              <w:jc w:val="center"/>
              <w:rPr>
                <w:szCs w:val="21"/>
              </w:rPr>
            </w:pPr>
            <w:r>
              <w:rPr>
                <w:rFonts w:hint="eastAsia"/>
                <w:szCs w:val="21"/>
              </w:rPr>
              <w:t>单价(人民币 元)</w:t>
            </w:r>
          </w:p>
        </w:tc>
      </w:tr>
      <w:tr w14:paraId="759F6C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tcPr>
          <w:p w14:paraId="389252DB">
            <w:pPr>
              <w:jc w:val="center"/>
              <w:rPr>
                <w:snapToGrid w:val="0"/>
                <w:color w:val="000000"/>
                <w:kern w:val="0"/>
              </w:rPr>
            </w:pPr>
            <w:r>
              <w:rPr>
                <w:rFonts w:hint="eastAsia" w:ascii="宋体" w:hAnsi="宋体"/>
                <w:kern w:val="0"/>
                <w:szCs w:val="21"/>
              </w:rPr>
              <w:t>1</w:t>
            </w:r>
          </w:p>
        </w:tc>
        <w:tc>
          <w:tcPr>
            <w:tcW w:w="1136" w:type="dxa"/>
          </w:tcPr>
          <w:p w14:paraId="6ACF6137">
            <w:pPr>
              <w:rPr>
                <w:snapToGrid w:val="0"/>
                <w:color w:val="000000"/>
                <w:kern w:val="0"/>
              </w:rPr>
            </w:pPr>
          </w:p>
        </w:tc>
        <w:tc>
          <w:tcPr>
            <w:tcW w:w="1843" w:type="dxa"/>
          </w:tcPr>
          <w:p w14:paraId="165545FD">
            <w:pPr>
              <w:jc w:val="center"/>
              <w:rPr>
                <w:snapToGrid w:val="0"/>
                <w:color w:val="000000"/>
                <w:kern w:val="0"/>
              </w:rPr>
            </w:pPr>
          </w:p>
        </w:tc>
        <w:tc>
          <w:tcPr>
            <w:tcW w:w="1417" w:type="dxa"/>
          </w:tcPr>
          <w:p w14:paraId="186257AF">
            <w:pPr>
              <w:rPr>
                <w:snapToGrid w:val="0"/>
                <w:color w:val="000000"/>
                <w:kern w:val="0"/>
              </w:rPr>
            </w:pPr>
          </w:p>
        </w:tc>
        <w:tc>
          <w:tcPr>
            <w:tcW w:w="2670" w:type="dxa"/>
          </w:tcPr>
          <w:p w14:paraId="0E9E3838">
            <w:pPr>
              <w:adjustRightInd w:val="0"/>
              <w:snapToGrid w:val="0"/>
              <w:spacing w:line="300" w:lineRule="auto"/>
              <w:jc w:val="center"/>
              <w:rPr>
                <w:snapToGrid w:val="0"/>
                <w:color w:val="000000"/>
                <w:kern w:val="0"/>
              </w:rPr>
            </w:pPr>
          </w:p>
        </w:tc>
      </w:tr>
      <w:tr w14:paraId="34F539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24B34417">
            <w:pPr>
              <w:adjustRightInd w:val="0"/>
              <w:snapToGrid w:val="0"/>
              <w:spacing w:line="300" w:lineRule="auto"/>
              <w:jc w:val="center"/>
              <w:rPr>
                <w:snapToGrid w:val="0"/>
                <w:color w:val="000000"/>
                <w:kern w:val="0"/>
              </w:rPr>
            </w:pPr>
            <w:r>
              <w:rPr>
                <w:rFonts w:hint="eastAsia"/>
                <w:snapToGrid w:val="0"/>
                <w:color w:val="000000"/>
                <w:kern w:val="0"/>
              </w:rPr>
              <w:t>2</w:t>
            </w:r>
          </w:p>
        </w:tc>
        <w:tc>
          <w:tcPr>
            <w:tcW w:w="1136" w:type="dxa"/>
            <w:vAlign w:val="center"/>
          </w:tcPr>
          <w:p w14:paraId="031D96FF">
            <w:pPr>
              <w:adjustRightInd w:val="0"/>
              <w:snapToGrid w:val="0"/>
              <w:spacing w:line="300" w:lineRule="auto"/>
              <w:jc w:val="center"/>
              <w:rPr>
                <w:snapToGrid w:val="0"/>
                <w:color w:val="000000"/>
                <w:kern w:val="0"/>
              </w:rPr>
            </w:pPr>
          </w:p>
        </w:tc>
        <w:tc>
          <w:tcPr>
            <w:tcW w:w="1843" w:type="dxa"/>
            <w:vAlign w:val="center"/>
          </w:tcPr>
          <w:p w14:paraId="05322F4B">
            <w:pPr>
              <w:adjustRightInd w:val="0"/>
              <w:snapToGrid w:val="0"/>
              <w:spacing w:line="300" w:lineRule="auto"/>
              <w:jc w:val="center"/>
              <w:rPr>
                <w:snapToGrid w:val="0"/>
                <w:color w:val="000000"/>
                <w:kern w:val="0"/>
              </w:rPr>
            </w:pPr>
          </w:p>
        </w:tc>
        <w:tc>
          <w:tcPr>
            <w:tcW w:w="1417" w:type="dxa"/>
            <w:vAlign w:val="center"/>
          </w:tcPr>
          <w:p w14:paraId="13E43B27">
            <w:pPr>
              <w:adjustRightInd w:val="0"/>
              <w:snapToGrid w:val="0"/>
              <w:spacing w:line="300" w:lineRule="auto"/>
              <w:jc w:val="center"/>
              <w:rPr>
                <w:snapToGrid w:val="0"/>
                <w:color w:val="000000"/>
                <w:kern w:val="0"/>
              </w:rPr>
            </w:pPr>
          </w:p>
        </w:tc>
        <w:tc>
          <w:tcPr>
            <w:tcW w:w="2670" w:type="dxa"/>
          </w:tcPr>
          <w:p w14:paraId="6A56B08B">
            <w:pPr>
              <w:adjustRightInd w:val="0"/>
              <w:snapToGrid w:val="0"/>
              <w:spacing w:line="300" w:lineRule="auto"/>
              <w:jc w:val="center"/>
              <w:rPr>
                <w:snapToGrid w:val="0"/>
                <w:color w:val="000000"/>
                <w:kern w:val="0"/>
              </w:rPr>
            </w:pPr>
          </w:p>
        </w:tc>
      </w:tr>
      <w:tr w14:paraId="406E5A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22D8E915">
            <w:pPr>
              <w:adjustRightInd w:val="0"/>
              <w:snapToGrid w:val="0"/>
              <w:spacing w:line="300" w:lineRule="auto"/>
              <w:jc w:val="center"/>
              <w:rPr>
                <w:snapToGrid w:val="0"/>
                <w:color w:val="000000"/>
                <w:kern w:val="0"/>
              </w:rPr>
            </w:pPr>
            <w:r>
              <w:rPr>
                <w:rFonts w:hint="eastAsia"/>
                <w:snapToGrid w:val="0"/>
                <w:color w:val="000000"/>
                <w:kern w:val="0"/>
              </w:rPr>
              <w:t>3</w:t>
            </w:r>
          </w:p>
        </w:tc>
        <w:tc>
          <w:tcPr>
            <w:tcW w:w="1136" w:type="dxa"/>
            <w:vAlign w:val="center"/>
          </w:tcPr>
          <w:p w14:paraId="63805BE6">
            <w:pPr>
              <w:adjustRightInd w:val="0"/>
              <w:snapToGrid w:val="0"/>
              <w:spacing w:line="300" w:lineRule="auto"/>
              <w:jc w:val="center"/>
              <w:rPr>
                <w:snapToGrid w:val="0"/>
                <w:color w:val="000000"/>
                <w:kern w:val="0"/>
              </w:rPr>
            </w:pPr>
          </w:p>
        </w:tc>
        <w:tc>
          <w:tcPr>
            <w:tcW w:w="1843" w:type="dxa"/>
            <w:vAlign w:val="center"/>
          </w:tcPr>
          <w:p w14:paraId="09079C5A">
            <w:pPr>
              <w:adjustRightInd w:val="0"/>
              <w:snapToGrid w:val="0"/>
              <w:spacing w:line="300" w:lineRule="auto"/>
              <w:jc w:val="center"/>
              <w:rPr>
                <w:snapToGrid w:val="0"/>
                <w:color w:val="000000"/>
                <w:kern w:val="0"/>
              </w:rPr>
            </w:pPr>
          </w:p>
        </w:tc>
        <w:tc>
          <w:tcPr>
            <w:tcW w:w="1417" w:type="dxa"/>
            <w:vAlign w:val="center"/>
          </w:tcPr>
          <w:p w14:paraId="42E0EA27">
            <w:pPr>
              <w:adjustRightInd w:val="0"/>
              <w:snapToGrid w:val="0"/>
              <w:spacing w:line="300" w:lineRule="auto"/>
              <w:jc w:val="center"/>
              <w:rPr>
                <w:snapToGrid w:val="0"/>
                <w:color w:val="000000"/>
                <w:kern w:val="0"/>
              </w:rPr>
            </w:pPr>
          </w:p>
        </w:tc>
        <w:tc>
          <w:tcPr>
            <w:tcW w:w="2670" w:type="dxa"/>
          </w:tcPr>
          <w:p w14:paraId="76A0538D">
            <w:pPr>
              <w:adjustRightInd w:val="0"/>
              <w:snapToGrid w:val="0"/>
              <w:spacing w:line="300" w:lineRule="auto"/>
              <w:jc w:val="center"/>
              <w:rPr>
                <w:snapToGrid w:val="0"/>
                <w:color w:val="000000"/>
                <w:kern w:val="0"/>
              </w:rPr>
            </w:pPr>
          </w:p>
        </w:tc>
      </w:tr>
      <w:tr w14:paraId="00D37B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2D0866A8">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6F355538">
            <w:pPr>
              <w:adjustRightInd w:val="0"/>
              <w:snapToGrid w:val="0"/>
              <w:spacing w:line="300" w:lineRule="auto"/>
              <w:jc w:val="center"/>
              <w:rPr>
                <w:snapToGrid w:val="0"/>
                <w:color w:val="000000"/>
                <w:kern w:val="0"/>
              </w:rPr>
            </w:pPr>
          </w:p>
        </w:tc>
        <w:tc>
          <w:tcPr>
            <w:tcW w:w="1843" w:type="dxa"/>
            <w:vAlign w:val="center"/>
          </w:tcPr>
          <w:p w14:paraId="15065573">
            <w:pPr>
              <w:adjustRightInd w:val="0"/>
              <w:snapToGrid w:val="0"/>
              <w:spacing w:line="300" w:lineRule="auto"/>
              <w:jc w:val="center"/>
              <w:rPr>
                <w:snapToGrid w:val="0"/>
                <w:color w:val="000000"/>
                <w:kern w:val="0"/>
              </w:rPr>
            </w:pPr>
          </w:p>
        </w:tc>
        <w:tc>
          <w:tcPr>
            <w:tcW w:w="1417" w:type="dxa"/>
            <w:vAlign w:val="center"/>
          </w:tcPr>
          <w:p w14:paraId="652B5AFC">
            <w:pPr>
              <w:adjustRightInd w:val="0"/>
              <w:snapToGrid w:val="0"/>
              <w:spacing w:line="300" w:lineRule="auto"/>
              <w:jc w:val="center"/>
              <w:rPr>
                <w:snapToGrid w:val="0"/>
                <w:color w:val="000000"/>
                <w:kern w:val="0"/>
              </w:rPr>
            </w:pPr>
          </w:p>
        </w:tc>
        <w:tc>
          <w:tcPr>
            <w:tcW w:w="2670" w:type="dxa"/>
          </w:tcPr>
          <w:p w14:paraId="2478D718">
            <w:pPr>
              <w:adjustRightInd w:val="0"/>
              <w:snapToGrid w:val="0"/>
              <w:spacing w:line="300" w:lineRule="auto"/>
              <w:jc w:val="center"/>
              <w:rPr>
                <w:snapToGrid w:val="0"/>
                <w:color w:val="000000"/>
                <w:kern w:val="0"/>
              </w:rPr>
            </w:pPr>
          </w:p>
        </w:tc>
      </w:tr>
      <w:tr w14:paraId="09929C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7308D64A">
            <w:pPr>
              <w:adjustRightInd w:val="0"/>
              <w:snapToGrid w:val="0"/>
              <w:spacing w:line="300" w:lineRule="auto"/>
              <w:jc w:val="center"/>
              <w:rPr>
                <w:snapToGrid w:val="0"/>
                <w:color w:val="000000"/>
                <w:kern w:val="0"/>
              </w:rPr>
            </w:pPr>
          </w:p>
        </w:tc>
        <w:tc>
          <w:tcPr>
            <w:tcW w:w="1136" w:type="dxa"/>
            <w:vAlign w:val="center"/>
          </w:tcPr>
          <w:p w14:paraId="0A819AA7">
            <w:pPr>
              <w:adjustRightInd w:val="0"/>
              <w:snapToGrid w:val="0"/>
              <w:spacing w:line="300" w:lineRule="auto"/>
              <w:jc w:val="center"/>
              <w:rPr>
                <w:snapToGrid w:val="0"/>
                <w:color w:val="000000"/>
                <w:kern w:val="0"/>
              </w:rPr>
            </w:pPr>
          </w:p>
        </w:tc>
        <w:tc>
          <w:tcPr>
            <w:tcW w:w="1843" w:type="dxa"/>
            <w:vAlign w:val="center"/>
          </w:tcPr>
          <w:p w14:paraId="04839F49">
            <w:pPr>
              <w:adjustRightInd w:val="0"/>
              <w:snapToGrid w:val="0"/>
              <w:spacing w:line="300" w:lineRule="auto"/>
              <w:jc w:val="center"/>
              <w:rPr>
                <w:snapToGrid w:val="0"/>
                <w:color w:val="000000"/>
                <w:kern w:val="0"/>
              </w:rPr>
            </w:pPr>
          </w:p>
        </w:tc>
        <w:tc>
          <w:tcPr>
            <w:tcW w:w="1417" w:type="dxa"/>
            <w:vAlign w:val="center"/>
          </w:tcPr>
          <w:p w14:paraId="787EEA98">
            <w:pPr>
              <w:adjustRightInd w:val="0"/>
              <w:snapToGrid w:val="0"/>
              <w:spacing w:line="300" w:lineRule="auto"/>
              <w:jc w:val="center"/>
              <w:rPr>
                <w:snapToGrid w:val="0"/>
                <w:color w:val="000000"/>
                <w:kern w:val="0"/>
              </w:rPr>
            </w:pPr>
          </w:p>
        </w:tc>
        <w:tc>
          <w:tcPr>
            <w:tcW w:w="2670" w:type="dxa"/>
          </w:tcPr>
          <w:p w14:paraId="6ACE6147">
            <w:pPr>
              <w:adjustRightInd w:val="0"/>
              <w:snapToGrid w:val="0"/>
              <w:spacing w:line="300" w:lineRule="auto"/>
              <w:jc w:val="center"/>
              <w:rPr>
                <w:snapToGrid w:val="0"/>
                <w:color w:val="000000"/>
                <w:kern w:val="0"/>
              </w:rPr>
            </w:pPr>
          </w:p>
        </w:tc>
      </w:tr>
    </w:tbl>
    <w:p w14:paraId="480E4514">
      <w:pPr>
        <w:adjustRightInd w:val="0"/>
        <w:snapToGrid w:val="0"/>
        <w:spacing w:line="300" w:lineRule="auto"/>
        <w:jc w:val="center"/>
        <w:rPr>
          <w:rFonts w:asciiTheme="minorEastAsia" w:hAnsiTheme="minorEastAsia" w:eastAsiaTheme="minorEastAsia"/>
          <w:snapToGrid w:val="0"/>
          <w:kern w:val="0"/>
        </w:rPr>
      </w:pPr>
    </w:p>
    <w:p w14:paraId="67226839">
      <w:pPr>
        <w:adjustRightInd w:val="0"/>
        <w:snapToGrid w:val="0"/>
        <w:spacing w:line="300" w:lineRule="auto"/>
        <w:jc w:val="center"/>
        <w:rPr>
          <w:rFonts w:asciiTheme="minorEastAsia" w:hAnsiTheme="minorEastAsia" w:eastAsiaTheme="minorEastAsia"/>
          <w:snapToGrid w:val="0"/>
          <w:kern w:val="0"/>
        </w:rPr>
      </w:pPr>
    </w:p>
    <w:p w14:paraId="685E37EB">
      <w:pPr>
        <w:adjustRightInd w:val="0"/>
        <w:snapToGrid w:val="0"/>
        <w:spacing w:line="300" w:lineRule="auto"/>
        <w:jc w:val="center"/>
        <w:rPr>
          <w:rFonts w:asciiTheme="minorEastAsia" w:hAnsiTheme="minorEastAsia" w:eastAsiaTheme="minorEastAsia"/>
          <w:snapToGrid w:val="0"/>
          <w:kern w:val="0"/>
        </w:rPr>
      </w:pPr>
      <w:r>
        <w:rPr>
          <w:rFonts w:hint="eastAsia" w:ascii="宋体" w:hAnsi="宋体" w:cs="宋体"/>
          <w:color w:val="000000"/>
          <w:kern w:val="0"/>
          <w:sz w:val="24"/>
        </w:rPr>
        <w:t>（三）【可选】</w:t>
      </w:r>
      <w:r>
        <w:rPr>
          <w:rFonts w:hint="eastAsia" w:asciiTheme="minorEastAsia" w:hAnsiTheme="minorEastAsia" w:eastAsiaTheme="minorEastAsia"/>
          <w:bCs/>
          <w:sz w:val="24"/>
        </w:rPr>
        <w:t>供应商认为需要涉及的其他内容报价清单</w:t>
      </w:r>
    </w:p>
    <w:p w14:paraId="58C99541">
      <w:pPr>
        <w:adjustRightInd w:val="0"/>
        <w:snapToGrid w:val="0"/>
        <w:spacing w:line="300" w:lineRule="auto"/>
        <w:rPr>
          <w:snapToGrid w:val="0"/>
          <w:kern w:val="0"/>
        </w:rPr>
      </w:pPr>
    </w:p>
    <w:p w14:paraId="4726FA5E">
      <w:pPr>
        <w:adjustRightInd w:val="0"/>
        <w:snapToGrid w:val="0"/>
        <w:spacing w:line="300" w:lineRule="auto"/>
        <w:rPr>
          <w:snapToGrid w:val="0"/>
          <w:kern w:val="0"/>
        </w:rPr>
      </w:pPr>
    </w:p>
    <w:p w14:paraId="695917C8">
      <w:pPr>
        <w:adjustRightInd w:val="0"/>
        <w:snapToGrid w:val="0"/>
        <w:spacing w:line="300" w:lineRule="auto"/>
        <w:rPr>
          <w:snapToGrid w:val="0"/>
          <w:kern w:val="0"/>
        </w:rPr>
      </w:pPr>
      <w:r>
        <w:rPr>
          <w:rFonts w:hint="eastAsia"/>
          <w:snapToGrid w:val="0"/>
          <w:kern w:val="0"/>
        </w:rPr>
        <w:t>投标单位：（盖章）</w:t>
      </w:r>
    </w:p>
    <w:p w14:paraId="1A242979">
      <w:pPr>
        <w:adjustRightInd w:val="0"/>
        <w:snapToGrid w:val="0"/>
        <w:spacing w:line="300" w:lineRule="auto"/>
        <w:rPr>
          <w:snapToGrid w:val="0"/>
          <w:kern w:val="0"/>
        </w:rPr>
      </w:pPr>
    </w:p>
    <w:p w14:paraId="7AA35681">
      <w:pPr>
        <w:adjustRightInd w:val="0"/>
        <w:snapToGrid w:val="0"/>
        <w:spacing w:line="300" w:lineRule="auto"/>
        <w:rPr>
          <w:snapToGrid w:val="0"/>
          <w:kern w:val="0"/>
        </w:rPr>
      </w:pPr>
    </w:p>
    <w:p w14:paraId="2BA492B3">
      <w:pPr>
        <w:adjustRightInd w:val="0"/>
        <w:snapToGrid w:val="0"/>
        <w:spacing w:line="300" w:lineRule="auto"/>
        <w:rPr>
          <w:snapToGrid w:val="0"/>
          <w:kern w:val="0"/>
        </w:rPr>
      </w:pPr>
    </w:p>
    <w:p w14:paraId="42C01385">
      <w:pPr>
        <w:wordWrap w:val="0"/>
        <w:adjustRightInd w:val="0"/>
        <w:snapToGrid w:val="0"/>
        <w:spacing w:line="300" w:lineRule="auto"/>
        <w:jc w:val="right"/>
      </w:pPr>
      <w:r>
        <w:rPr>
          <w:rFonts w:hint="eastAsia"/>
          <w:snapToGrid w:val="0"/>
          <w:kern w:val="0"/>
        </w:rPr>
        <w:t>年    月   日</w:t>
      </w:r>
    </w:p>
    <w:p w14:paraId="11627E8A"/>
    <w:p w14:paraId="4B4778F8">
      <w:pPr>
        <w:rPr>
          <w:rFonts w:asciiTheme="minorEastAsia" w:hAnsiTheme="minorEastAsia" w:eastAsiaTheme="minorEastAsia"/>
        </w:rPr>
      </w:pPr>
      <w:bookmarkStart w:id="68" w:name="_Toc44691167"/>
      <w:bookmarkStart w:id="69" w:name="_Toc44690435"/>
      <w:bookmarkStart w:id="70" w:name="_Toc44691399"/>
      <w:bookmarkStart w:id="71" w:name="_Toc44690708"/>
      <w:bookmarkStart w:id="72" w:name="_Toc135293349"/>
    </w:p>
    <w:p w14:paraId="3BE43B40">
      <w:pPr>
        <w:rPr>
          <w:rFonts w:asciiTheme="minorEastAsia" w:hAnsiTheme="minorEastAsia" w:eastAsiaTheme="minorEastAsia"/>
        </w:rPr>
      </w:pPr>
      <w:r>
        <w:rPr>
          <w:rFonts w:hint="eastAsia" w:asciiTheme="minorEastAsia" w:hAnsiTheme="minorEastAsia" w:eastAsiaTheme="minorEastAsia"/>
        </w:rPr>
        <w:br w:type="page"/>
      </w:r>
    </w:p>
    <w:p w14:paraId="28FAF493">
      <w:pPr>
        <w:pStyle w:val="3"/>
        <w:tabs>
          <w:tab w:val="left" w:pos="371"/>
        </w:tabs>
        <w:spacing w:before="120" w:after="120"/>
        <w:ind w:left="-1" w:leftChars="-1" w:hanging="1"/>
        <w:jc w:val="center"/>
        <w:rPr>
          <w:rFonts w:asciiTheme="minorEastAsia" w:hAnsiTheme="minorEastAsia" w:eastAsiaTheme="minorEastAsia"/>
        </w:rPr>
      </w:pPr>
    </w:p>
    <w:p w14:paraId="41A80CD3">
      <w:pPr>
        <w:pStyle w:val="3"/>
        <w:tabs>
          <w:tab w:val="left" w:pos="371"/>
        </w:tabs>
        <w:spacing w:before="120" w:after="120"/>
        <w:ind w:left="-1" w:leftChars="-1" w:hanging="1"/>
        <w:jc w:val="center"/>
        <w:rPr>
          <w:rFonts w:asciiTheme="minorEastAsia" w:hAnsiTheme="minorEastAsia" w:eastAsiaTheme="minorEastAsia"/>
        </w:rPr>
      </w:pPr>
      <w:bookmarkStart w:id="73" w:name="_Toc11048"/>
      <w:r>
        <w:rPr>
          <w:rFonts w:hint="eastAsia" w:asciiTheme="minorEastAsia" w:hAnsiTheme="minorEastAsia" w:eastAsiaTheme="minorEastAsia"/>
        </w:rPr>
        <w:t>格式7  技术规格</w:t>
      </w:r>
      <w:bookmarkEnd w:id="68"/>
      <w:bookmarkEnd w:id="69"/>
      <w:bookmarkEnd w:id="70"/>
      <w:bookmarkEnd w:id="71"/>
      <w:bookmarkEnd w:id="72"/>
      <w:bookmarkEnd w:id="73"/>
    </w:p>
    <w:p w14:paraId="7B13F7E3">
      <w:pPr>
        <w:pStyle w:val="7"/>
      </w:pPr>
    </w:p>
    <w:p w14:paraId="74C6E3BC">
      <w:pPr>
        <w:spacing w:line="360" w:lineRule="auto"/>
        <w:ind w:left="420"/>
        <w:rPr>
          <w:rFonts w:ascii="宋体" w:hAnsi="宋体"/>
        </w:rPr>
      </w:pPr>
      <w:r>
        <w:rPr>
          <w:rFonts w:hint="eastAsia" w:ascii="宋体" w:hAnsi="宋体"/>
        </w:rPr>
        <w:t>1、对投标产品的整体描述（包括采用文字、表格等形式）</w:t>
      </w:r>
    </w:p>
    <w:p w14:paraId="1F99D374">
      <w:pPr>
        <w:spacing w:line="360" w:lineRule="auto"/>
        <w:ind w:left="420"/>
        <w:rPr>
          <w:rFonts w:ascii="宋体" w:hAnsi="宋体"/>
        </w:rPr>
      </w:pPr>
      <w:r>
        <w:rPr>
          <w:rFonts w:hint="eastAsia" w:ascii="宋体" w:hAnsi="宋体"/>
        </w:rPr>
        <w:t>2、投标产品采用的技术标准</w:t>
      </w:r>
    </w:p>
    <w:p w14:paraId="06D8D174">
      <w:pPr>
        <w:spacing w:line="360" w:lineRule="auto"/>
        <w:ind w:left="420"/>
        <w:rPr>
          <w:rFonts w:ascii="宋体" w:hAnsi="宋体"/>
        </w:rPr>
      </w:pPr>
      <w:r>
        <w:rPr>
          <w:rFonts w:hint="eastAsia" w:ascii="宋体" w:hAnsi="宋体"/>
        </w:rPr>
        <w:t>3、投标产品的性能特点（包括新技术、新工艺、新材料的应用等）</w:t>
      </w:r>
    </w:p>
    <w:p w14:paraId="1E573667">
      <w:pPr>
        <w:spacing w:line="360" w:lineRule="auto"/>
        <w:ind w:left="420"/>
        <w:rPr>
          <w:rFonts w:ascii="宋体" w:hAnsi="宋体"/>
        </w:rPr>
      </w:pPr>
      <w:r>
        <w:rPr>
          <w:rFonts w:hint="eastAsia" w:ascii="宋体" w:hAnsi="宋体"/>
        </w:rPr>
        <w:t>4、投标产品的外形尺寸图、成品的彩色图样等</w:t>
      </w:r>
    </w:p>
    <w:p w14:paraId="7B7FD4C3">
      <w:pPr>
        <w:spacing w:line="360" w:lineRule="auto"/>
        <w:ind w:left="420"/>
        <w:rPr>
          <w:rFonts w:ascii="宋体" w:hAnsi="宋体"/>
        </w:rPr>
      </w:pPr>
      <w:r>
        <w:rPr>
          <w:rFonts w:hint="eastAsia" w:ascii="宋体" w:hAnsi="宋体"/>
        </w:rPr>
        <w:t>5、投标产品的说明书等</w:t>
      </w:r>
    </w:p>
    <w:p w14:paraId="3EF7AB1A">
      <w:pPr>
        <w:spacing w:line="360" w:lineRule="auto"/>
        <w:ind w:left="420"/>
        <w:rPr>
          <w:rFonts w:ascii="宋体" w:hAnsi="宋体"/>
        </w:rPr>
      </w:pPr>
      <w:r>
        <w:rPr>
          <w:rFonts w:hint="eastAsia" w:ascii="宋体" w:hAnsi="宋体"/>
        </w:rPr>
        <w:t>6、技术保障措施</w:t>
      </w:r>
    </w:p>
    <w:p w14:paraId="6BBAF9E3">
      <w:pPr>
        <w:spacing w:line="360" w:lineRule="auto"/>
        <w:ind w:left="420"/>
        <w:rPr>
          <w:rFonts w:ascii="宋体" w:hAnsi="宋体" w:cs="宋体"/>
          <w:color w:val="000000"/>
          <w:kern w:val="0"/>
          <w:szCs w:val="21"/>
        </w:rPr>
      </w:pPr>
      <w:r>
        <w:rPr>
          <w:rFonts w:hint="eastAsia" w:ascii="宋体" w:hAnsi="宋体"/>
        </w:rPr>
        <w:t>7、</w:t>
      </w:r>
      <w:r>
        <w:rPr>
          <w:rFonts w:hint="eastAsia" w:ascii="宋体" w:hAnsi="宋体" w:cs="宋体"/>
          <w:color w:val="000000"/>
          <w:kern w:val="0"/>
          <w:szCs w:val="21"/>
        </w:rPr>
        <w:t>同类项目业绩情况</w:t>
      </w:r>
    </w:p>
    <w:p w14:paraId="507C6463">
      <w:pPr>
        <w:spacing w:line="360" w:lineRule="auto"/>
        <w:ind w:left="420"/>
        <w:rPr>
          <w:rFonts w:ascii="宋体" w:hAnsi="宋体" w:cs="宋体"/>
          <w:kern w:val="0"/>
          <w:szCs w:val="21"/>
        </w:rPr>
      </w:pPr>
      <w:r>
        <w:rPr>
          <w:rFonts w:hint="eastAsia" w:ascii="宋体" w:hAnsi="宋体" w:cs="宋体"/>
          <w:color w:val="000000"/>
          <w:kern w:val="0"/>
          <w:szCs w:val="21"/>
        </w:rPr>
        <w:t>8、</w:t>
      </w:r>
      <w:r>
        <w:rPr>
          <w:rFonts w:hint="eastAsia" w:ascii="宋体" w:hAnsi="宋体" w:cs="宋体"/>
          <w:kern w:val="0"/>
          <w:szCs w:val="21"/>
        </w:rPr>
        <w:t>相关认证情况</w:t>
      </w:r>
    </w:p>
    <w:p w14:paraId="2B45ED3C">
      <w:pPr>
        <w:spacing w:line="360" w:lineRule="auto"/>
        <w:ind w:left="420"/>
        <w:rPr>
          <w:rFonts w:ascii="宋体" w:hAnsi="宋体"/>
        </w:rPr>
      </w:pPr>
      <w:r>
        <w:rPr>
          <w:rFonts w:hint="eastAsia" w:ascii="宋体" w:hAnsi="宋体" w:cs="宋体"/>
          <w:kern w:val="0"/>
          <w:szCs w:val="21"/>
        </w:rPr>
        <w:t>9、</w:t>
      </w:r>
      <w:r>
        <w:rPr>
          <w:rFonts w:hint="eastAsia" w:ascii="宋体" w:hAnsi="宋体"/>
        </w:rPr>
        <w:t>其它</w:t>
      </w:r>
    </w:p>
    <w:p w14:paraId="334F6DC6">
      <w:pPr>
        <w:adjustRightInd w:val="0"/>
        <w:snapToGrid w:val="0"/>
        <w:spacing w:line="300" w:lineRule="auto"/>
        <w:rPr>
          <w:snapToGrid w:val="0"/>
          <w:kern w:val="0"/>
        </w:rPr>
      </w:pPr>
    </w:p>
    <w:p w14:paraId="49186194">
      <w:pPr>
        <w:adjustRightInd w:val="0"/>
        <w:snapToGrid w:val="0"/>
        <w:spacing w:line="300" w:lineRule="auto"/>
        <w:rPr>
          <w:snapToGrid w:val="0"/>
          <w:kern w:val="0"/>
        </w:rPr>
      </w:pPr>
    </w:p>
    <w:p w14:paraId="1FA8BCDF">
      <w:pPr>
        <w:adjustRightInd w:val="0"/>
        <w:snapToGrid w:val="0"/>
        <w:spacing w:line="300" w:lineRule="auto"/>
        <w:rPr>
          <w:snapToGrid w:val="0"/>
          <w:kern w:val="0"/>
        </w:rPr>
      </w:pPr>
    </w:p>
    <w:p w14:paraId="64E901D6">
      <w:pPr>
        <w:adjustRightInd w:val="0"/>
        <w:snapToGrid w:val="0"/>
        <w:spacing w:line="300" w:lineRule="auto"/>
        <w:jc w:val="right"/>
        <w:rPr>
          <w:snapToGrid w:val="0"/>
          <w:kern w:val="0"/>
        </w:rPr>
      </w:pPr>
    </w:p>
    <w:p w14:paraId="77503667">
      <w:pPr>
        <w:adjustRightInd w:val="0"/>
        <w:snapToGrid w:val="0"/>
        <w:spacing w:line="300" w:lineRule="auto"/>
        <w:jc w:val="right"/>
        <w:rPr>
          <w:snapToGrid w:val="0"/>
          <w:kern w:val="0"/>
        </w:rPr>
      </w:pPr>
    </w:p>
    <w:p w14:paraId="2CBEEE72">
      <w:pPr>
        <w:adjustRightInd w:val="0"/>
        <w:snapToGrid w:val="0"/>
        <w:spacing w:line="300" w:lineRule="auto"/>
        <w:jc w:val="right"/>
        <w:rPr>
          <w:snapToGrid w:val="0"/>
          <w:kern w:val="0"/>
        </w:rPr>
      </w:pPr>
    </w:p>
    <w:p w14:paraId="6A1AFDF0">
      <w:pPr>
        <w:adjustRightInd w:val="0"/>
        <w:snapToGrid w:val="0"/>
        <w:spacing w:line="300" w:lineRule="auto"/>
        <w:jc w:val="right"/>
        <w:rPr>
          <w:snapToGrid w:val="0"/>
          <w:kern w:val="0"/>
        </w:rPr>
      </w:pPr>
    </w:p>
    <w:p w14:paraId="7500D6C1">
      <w:pPr>
        <w:adjustRightInd w:val="0"/>
        <w:snapToGrid w:val="0"/>
        <w:spacing w:line="300" w:lineRule="auto"/>
        <w:jc w:val="right"/>
        <w:rPr>
          <w:snapToGrid w:val="0"/>
          <w:kern w:val="0"/>
        </w:rPr>
      </w:pPr>
    </w:p>
    <w:p w14:paraId="3EC82CA4">
      <w:pPr>
        <w:adjustRightInd w:val="0"/>
        <w:snapToGrid w:val="0"/>
        <w:spacing w:line="300" w:lineRule="auto"/>
        <w:jc w:val="right"/>
        <w:rPr>
          <w:snapToGrid w:val="0"/>
          <w:kern w:val="0"/>
        </w:rPr>
      </w:pPr>
    </w:p>
    <w:p w14:paraId="1203E9FA">
      <w:pPr>
        <w:adjustRightInd w:val="0"/>
        <w:snapToGrid w:val="0"/>
        <w:spacing w:line="300" w:lineRule="auto"/>
        <w:jc w:val="right"/>
        <w:rPr>
          <w:snapToGrid w:val="0"/>
          <w:kern w:val="0"/>
        </w:rPr>
      </w:pPr>
    </w:p>
    <w:p w14:paraId="6B1CF7FB">
      <w:pPr>
        <w:adjustRightInd w:val="0"/>
        <w:snapToGrid w:val="0"/>
        <w:spacing w:line="300" w:lineRule="auto"/>
        <w:jc w:val="right"/>
        <w:rPr>
          <w:snapToGrid w:val="0"/>
          <w:kern w:val="0"/>
        </w:rPr>
      </w:pPr>
    </w:p>
    <w:p w14:paraId="6AA46F2E">
      <w:pPr>
        <w:pStyle w:val="29"/>
        <w:adjustRightInd w:val="0"/>
        <w:snapToGrid w:val="0"/>
        <w:spacing w:line="312" w:lineRule="auto"/>
        <w:jc w:val="left"/>
        <w:rPr>
          <w:rFonts w:ascii="Times New Roman" w:hAnsi="Times New Roman"/>
          <w:b/>
          <w:sz w:val="21"/>
          <w:szCs w:val="21"/>
        </w:rPr>
      </w:pPr>
    </w:p>
    <w:p w14:paraId="58E59260">
      <w:pPr>
        <w:rPr>
          <w:b/>
          <w:szCs w:val="21"/>
        </w:rPr>
      </w:pPr>
    </w:p>
    <w:p w14:paraId="72AA3D1A">
      <w:pPr>
        <w:rPr>
          <w:b/>
          <w:szCs w:val="21"/>
        </w:rPr>
      </w:pPr>
    </w:p>
    <w:p w14:paraId="4432DAE8">
      <w:pPr>
        <w:rPr>
          <w:b/>
          <w:szCs w:val="21"/>
        </w:rPr>
      </w:pPr>
    </w:p>
    <w:p w14:paraId="0302ABFB">
      <w:pPr>
        <w:rPr>
          <w:b/>
          <w:szCs w:val="21"/>
        </w:rPr>
      </w:pPr>
    </w:p>
    <w:p w14:paraId="6834EE97">
      <w:pPr>
        <w:rPr>
          <w:b/>
          <w:szCs w:val="21"/>
        </w:rPr>
      </w:pPr>
    </w:p>
    <w:p w14:paraId="114A3E81">
      <w:pPr>
        <w:rPr>
          <w:b/>
          <w:szCs w:val="21"/>
        </w:rPr>
      </w:pPr>
    </w:p>
    <w:p w14:paraId="2DBB5984">
      <w:pPr>
        <w:rPr>
          <w:b/>
          <w:szCs w:val="21"/>
        </w:rPr>
      </w:pPr>
      <w:r>
        <w:rPr>
          <w:b/>
          <w:szCs w:val="21"/>
        </w:rPr>
        <w:br w:type="page"/>
      </w:r>
    </w:p>
    <w:p w14:paraId="3D13E122">
      <w:pPr>
        <w:rPr>
          <w:b/>
          <w:szCs w:val="21"/>
        </w:rPr>
      </w:pPr>
    </w:p>
    <w:p w14:paraId="69857E79">
      <w:pPr>
        <w:pStyle w:val="3"/>
        <w:tabs>
          <w:tab w:val="left" w:pos="371"/>
        </w:tabs>
        <w:spacing w:before="120" w:after="120"/>
        <w:ind w:left="-1" w:leftChars="-1" w:hanging="1"/>
        <w:jc w:val="center"/>
        <w:rPr>
          <w:rFonts w:asciiTheme="minorEastAsia" w:hAnsiTheme="minorEastAsia" w:eastAsiaTheme="minorEastAsia"/>
        </w:rPr>
      </w:pPr>
      <w:bookmarkStart w:id="74" w:name="_Toc135293350"/>
      <w:bookmarkStart w:id="75" w:name="_Toc29479"/>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4"/>
      <w:bookmarkEnd w:id="75"/>
    </w:p>
    <w:p w14:paraId="63CA0149"/>
    <w:p w14:paraId="5BC7E1FE">
      <w:pPr>
        <w:jc w:val="center"/>
      </w:pPr>
      <w:r>
        <w:t>货物交付进度表</w:t>
      </w:r>
    </w:p>
    <w:p w14:paraId="62EB7FFB"/>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71C505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DFEC271">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1BA22C3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5EF140E0">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0E3CCD95">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5AE6A3C5">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09521E25">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1EBAE7E6">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5D008D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08DBE97">
            <w:pPr>
              <w:autoSpaceDE w:val="0"/>
              <w:autoSpaceDN w:val="0"/>
              <w:adjustRightInd w:val="0"/>
              <w:spacing w:before="120" w:after="120" w:line="240" w:lineRule="atLeast"/>
              <w:ind w:left="28" w:right="28"/>
              <w:jc w:val="center"/>
              <w:rPr>
                <w:kern w:val="0"/>
                <w:sz w:val="18"/>
                <w:szCs w:val="22"/>
              </w:rPr>
            </w:pPr>
          </w:p>
        </w:tc>
        <w:tc>
          <w:tcPr>
            <w:tcW w:w="2520" w:type="dxa"/>
          </w:tcPr>
          <w:p w14:paraId="2531F6C1">
            <w:pPr>
              <w:autoSpaceDE w:val="0"/>
              <w:autoSpaceDN w:val="0"/>
              <w:adjustRightInd w:val="0"/>
              <w:spacing w:before="120" w:after="120" w:line="240" w:lineRule="atLeast"/>
              <w:ind w:left="15" w:right="28"/>
              <w:jc w:val="center"/>
              <w:rPr>
                <w:kern w:val="0"/>
                <w:sz w:val="18"/>
                <w:szCs w:val="22"/>
              </w:rPr>
            </w:pPr>
          </w:p>
        </w:tc>
        <w:tc>
          <w:tcPr>
            <w:tcW w:w="735" w:type="dxa"/>
          </w:tcPr>
          <w:p w14:paraId="32A8E1DA">
            <w:pPr>
              <w:autoSpaceDE w:val="0"/>
              <w:autoSpaceDN w:val="0"/>
              <w:adjustRightInd w:val="0"/>
              <w:spacing w:before="120" w:after="120" w:line="240" w:lineRule="atLeast"/>
              <w:ind w:left="15" w:right="28"/>
              <w:jc w:val="center"/>
              <w:rPr>
                <w:kern w:val="0"/>
                <w:sz w:val="18"/>
                <w:szCs w:val="22"/>
              </w:rPr>
            </w:pPr>
          </w:p>
        </w:tc>
        <w:tc>
          <w:tcPr>
            <w:tcW w:w="735" w:type="dxa"/>
          </w:tcPr>
          <w:p w14:paraId="36D69E1C">
            <w:pPr>
              <w:autoSpaceDE w:val="0"/>
              <w:autoSpaceDN w:val="0"/>
              <w:adjustRightInd w:val="0"/>
              <w:spacing w:before="120" w:after="120" w:line="240" w:lineRule="atLeast"/>
              <w:ind w:left="15" w:right="28"/>
              <w:jc w:val="center"/>
              <w:rPr>
                <w:kern w:val="0"/>
                <w:sz w:val="18"/>
                <w:szCs w:val="22"/>
              </w:rPr>
            </w:pPr>
          </w:p>
        </w:tc>
        <w:tc>
          <w:tcPr>
            <w:tcW w:w="1500" w:type="dxa"/>
          </w:tcPr>
          <w:p w14:paraId="5B370D0E">
            <w:pPr>
              <w:autoSpaceDE w:val="0"/>
              <w:autoSpaceDN w:val="0"/>
              <w:adjustRightInd w:val="0"/>
              <w:spacing w:before="120" w:after="120" w:line="240" w:lineRule="atLeast"/>
              <w:ind w:left="15" w:right="28"/>
              <w:jc w:val="center"/>
              <w:rPr>
                <w:kern w:val="0"/>
                <w:sz w:val="18"/>
                <w:szCs w:val="22"/>
              </w:rPr>
            </w:pPr>
          </w:p>
        </w:tc>
        <w:tc>
          <w:tcPr>
            <w:tcW w:w="1530" w:type="dxa"/>
          </w:tcPr>
          <w:p w14:paraId="2D69EAF6">
            <w:pPr>
              <w:autoSpaceDE w:val="0"/>
              <w:autoSpaceDN w:val="0"/>
              <w:adjustRightInd w:val="0"/>
              <w:spacing w:before="120" w:after="120" w:line="240" w:lineRule="atLeast"/>
              <w:ind w:left="15" w:right="28"/>
              <w:jc w:val="center"/>
              <w:rPr>
                <w:kern w:val="0"/>
                <w:sz w:val="18"/>
                <w:szCs w:val="22"/>
              </w:rPr>
            </w:pPr>
          </w:p>
        </w:tc>
        <w:tc>
          <w:tcPr>
            <w:tcW w:w="1530" w:type="dxa"/>
          </w:tcPr>
          <w:p w14:paraId="32116FE8">
            <w:pPr>
              <w:autoSpaceDE w:val="0"/>
              <w:autoSpaceDN w:val="0"/>
              <w:adjustRightInd w:val="0"/>
              <w:spacing w:before="120" w:after="120" w:line="240" w:lineRule="atLeast"/>
              <w:ind w:left="15" w:right="28"/>
              <w:jc w:val="center"/>
              <w:rPr>
                <w:kern w:val="0"/>
                <w:sz w:val="18"/>
                <w:szCs w:val="22"/>
              </w:rPr>
            </w:pPr>
          </w:p>
        </w:tc>
      </w:tr>
      <w:tr w14:paraId="396D69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1A91562">
            <w:pPr>
              <w:autoSpaceDE w:val="0"/>
              <w:autoSpaceDN w:val="0"/>
              <w:adjustRightInd w:val="0"/>
              <w:spacing w:before="120" w:after="120" w:line="240" w:lineRule="atLeast"/>
              <w:ind w:left="28" w:right="28"/>
              <w:jc w:val="center"/>
              <w:rPr>
                <w:kern w:val="0"/>
                <w:sz w:val="18"/>
                <w:szCs w:val="22"/>
              </w:rPr>
            </w:pPr>
          </w:p>
        </w:tc>
        <w:tc>
          <w:tcPr>
            <w:tcW w:w="2520" w:type="dxa"/>
          </w:tcPr>
          <w:p w14:paraId="04C468D9">
            <w:pPr>
              <w:autoSpaceDE w:val="0"/>
              <w:autoSpaceDN w:val="0"/>
              <w:adjustRightInd w:val="0"/>
              <w:spacing w:before="120" w:after="120" w:line="240" w:lineRule="atLeast"/>
              <w:ind w:left="15" w:right="28"/>
              <w:jc w:val="center"/>
              <w:rPr>
                <w:kern w:val="0"/>
                <w:sz w:val="18"/>
                <w:szCs w:val="22"/>
              </w:rPr>
            </w:pPr>
          </w:p>
        </w:tc>
        <w:tc>
          <w:tcPr>
            <w:tcW w:w="735" w:type="dxa"/>
          </w:tcPr>
          <w:p w14:paraId="2E762564">
            <w:pPr>
              <w:autoSpaceDE w:val="0"/>
              <w:autoSpaceDN w:val="0"/>
              <w:adjustRightInd w:val="0"/>
              <w:spacing w:before="120" w:after="120" w:line="240" w:lineRule="atLeast"/>
              <w:ind w:left="15" w:right="28"/>
              <w:jc w:val="center"/>
              <w:rPr>
                <w:kern w:val="0"/>
                <w:sz w:val="18"/>
                <w:szCs w:val="22"/>
              </w:rPr>
            </w:pPr>
          </w:p>
        </w:tc>
        <w:tc>
          <w:tcPr>
            <w:tcW w:w="735" w:type="dxa"/>
          </w:tcPr>
          <w:p w14:paraId="73E3B352">
            <w:pPr>
              <w:autoSpaceDE w:val="0"/>
              <w:autoSpaceDN w:val="0"/>
              <w:adjustRightInd w:val="0"/>
              <w:spacing w:before="120" w:after="120" w:line="240" w:lineRule="atLeast"/>
              <w:ind w:left="15" w:right="28"/>
              <w:jc w:val="center"/>
              <w:rPr>
                <w:kern w:val="0"/>
                <w:sz w:val="18"/>
                <w:szCs w:val="22"/>
              </w:rPr>
            </w:pPr>
          </w:p>
        </w:tc>
        <w:tc>
          <w:tcPr>
            <w:tcW w:w="1500" w:type="dxa"/>
          </w:tcPr>
          <w:p w14:paraId="37E81E6E">
            <w:pPr>
              <w:autoSpaceDE w:val="0"/>
              <w:autoSpaceDN w:val="0"/>
              <w:adjustRightInd w:val="0"/>
              <w:spacing w:before="120" w:after="120" w:line="240" w:lineRule="atLeast"/>
              <w:ind w:left="15" w:right="28"/>
              <w:jc w:val="center"/>
              <w:rPr>
                <w:kern w:val="0"/>
                <w:sz w:val="18"/>
                <w:szCs w:val="22"/>
              </w:rPr>
            </w:pPr>
          </w:p>
        </w:tc>
        <w:tc>
          <w:tcPr>
            <w:tcW w:w="1530" w:type="dxa"/>
          </w:tcPr>
          <w:p w14:paraId="7B98DD54">
            <w:pPr>
              <w:autoSpaceDE w:val="0"/>
              <w:autoSpaceDN w:val="0"/>
              <w:adjustRightInd w:val="0"/>
              <w:spacing w:before="120" w:after="120" w:line="240" w:lineRule="atLeast"/>
              <w:ind w:left="15" w:right="28"/>
              <w:jc w:val="center"/>
              <w:rPr>
                <w:kern w:val="0"/>
                <w:sz w:val="18"/>
                <w:szCs w:val="22"/>
              </w:rPr>
            </w:pPr>
          </w:p>
        </w:tc>
        <w:tc>
          <w:tcPr>
            <w:tcW w:w="1530" w:type="dxa"/>
          </w:tcPr>
          <w:p w14:paraId="325CA8B4">
            <w:pPr>
              <w:autoSpaceDE w:val="0"/>
              <w:autoSpaceDN w:val="0"/>
              <w:adjustRightInd w:val="0"/>
              <w:spacing w:before="120" w:after="120" w:line="240" w:lineRule="atLeast"/>
              <w:ind w:left="15" w:right="28"/>
              <w:jc w:val="center"/>
              <w:rPr>
                <w:kern w:val="0"/>
                <w:sz w:val="18"/>
                <w:szCs w:val="22"/>
              </w:rPr>
            </w:pPr>
          </w:p>
        </w:tc>
      </w:tr>
    </w:tbl>
    <w:p w14:paraId="2B16F3F9"/>
    <w:p w14:paraId="04195EAA"/>
    <w:p w14:paraId="09629288">
      <w:pPr>
        <w:jc w:val="center"/>
      </w:pPr>
    </w:p>
    <w:p w14:paraId="3539EEA5">
      <w:pPr>
        <w:adjustRightInd w:val="0"/>
        <w:snapToGrid w:val="0"/>
        <w:spacing w:line="300" w:lineRule="auto"/>
        <w:rPr>
          <w:snapToGrid w:val="0"/>
          <w:kern w:val="0"/>
        </w:rPr>
      </w:pPr>
    </w:p>
    <w:p w14:paraId="1D62A722">
      <w:pPr>
        <w:adjustRightInd w:val="0"/>
        <w:snapToGrid w:val="0"/>
        <w:spacing w:line="300" w:lineRule="auto"/>
        <w:rPr>
          <w:snapToGrid w:val="0"/>
          <w:kern w:val="0"/>
        </w:rPr>
      </w:pPr>
    </w:p>
    <w:p w14:paraId="67996987">
      <w:pPr>
        <w:adjustRightInd w:val="0"/>
        <w:snapToGrid w:val="0"/>
        <w:spacing w:line="300" w:lineRule="auto"/>
        <w:rPr>
          <w:snapToGrid w:val="0"/>
          <w:kern w:val="0"/>
        </w:rPr>
      </w:pPr>
    </w:p>
    <w:p w14:paraId="1070EA02">
      <w:pPr>
        <w:adjustRightInd w:val="0"/>
        <w:snapToGrid w:val="0"/>
        <w:spacing w:line="300" w:lineRule="auto"/>
        <w:rPr>
          <w:snapToGrid w:val="0"/>
          <w:kern w:val="0"/>
        </w:rPr>
      </w:pPr>
      <w:r>
        <w:rPr>
          <w:rFonts w:hint="eastAsia"/>
          <w:snapToGrid w:val="0"/>
          <w:kern w:val="0"/>
        </w:rPr>
        <w:t>投标单位：（盖章）</w:t>
      </w:r>
    </w:p>
    <w:p w14:paraId="41F54A98">
      <w:pPr>
        <w:adjustRightInd w:val="0"/>
        <w:snapToGrid w:val="0"/>
        <w:spacing w:line="300" w:lineRule="auto"/>
        <w:rPr>
          <w:snapToGrid w:val="0"/>
          <w:kern w:val="0"/>
        </w:rPr>
      </w:pPr>
    </w:p>
    <w:p w14:paraId="624CE1C9">
      <w:pPr>
        <w:adjustRightInd w:val="0"/>
        <w:snapToGrid w:val="0"/>
        <w:spacing w:line="300" w:lineRule="auto"/>
        <w:ind w:right="420"/>
        <w:rPr>
          <w:snapToGrid w:val="0"/>
          <w:kern w:val="0"/>
        </w:rPr>
      </w:pPr>
    </w:p>
    <w:p w14:paraId="6B54DBE4">
      <w:pPr>
        <w:adjustRightInd w:val="0"/>
        <w:snapToGrid w:val="0"/>
        <w:spacing w:line="300" w:lineRule="auto"/>
        <w:ind w:right="420"/>
        <w:rPr>
          <w:snapToGrid w:val="0"/>
          <w:kern w:val="0"/>
        </w:rPr>
      </w:pPr>
    </w:p>
    <w:p w14:paraId="728D66B7">
      <w:pPr>
        <w:adjustRightInd w:val="0"/>
        <w:snapToGrid w:val="0"/>
        <w:spacing w:line="300" w:lineRule="auto"/>
        <w:ind w:right="420"/>
        <w:rPr>
          <w:snapToGrid w:val="0"/>
          <w:kern w:val="0"/>
        </w:rPr>
      </w:pPr>
    </w:p>
    <w:p w14:paraId="721CDBFD">
      <w:pPr>
        <w:adjustRightInd w:val="0"/>
        <w:snapToGrid w:val="0"/>
        <w:spacing w:line="300" w:lineRule="auto"/>
        <w:ind w:right="420" w:firstLine="6195" w:firstLineChars="2950"/>
        <w:rPr>
          <w:snapToGrid w:val="0"/>
          <w:kern w:val="0"/>
        </w:rPr>
      </w:pPr>
      <w:r>
        <w:rPr>
          <w:rFonts w:hint="eastAsia"/>
          <w:snapToGrid w:val="0"/>
          <w:kern w:val="0"/>
        </w:rPr>
        <w:t>年       月      日</w:t>
      </w:r>
    </w:p>
    <w:p w14:paraId="7F07FA77">
      <w:pPr>
        <w:rPr>
          <w:rFonts w:ascii="宋体" w:hAnsi="宋体"/>
          <w:sz w:val="28"/>
        </w:rPr>
      </w:pPr>
    </w:p>
    <w:p w14:paraId="45BC592D"/>
    <w:p w14:paraId="7C8CA600"/>
    <w:p w14:paraId="744AFB8E"/>
    <w:p w14:paraId="5716FAD9"/>
    <w:p w14:paraId="74471A92"/>
    <w:p w14:paraId="3B012494"/>
    <w:p w14:paraId="34D9502E"/>
    <w:p w14:paraId="25F1039C">
      <w:pPr>
        <w:tabs>
          <w:tab w:val="left" w:pos="371"/>
        </w:tabs>
        <w:spacing w:before="120" w:after="120"/>
        <w:ind w:left="-1" w:leftChars="-1" w:hanging="1"/>
        <w:jc w:val="center"/>
      </w:pPr>
      <w:bookmarkStart w:id="76" w:name="_Toc44691400"/>
      <w:bookmarkStart w:id="77" w:name="_Toc44691168"/>
      <w:bookmarkStart w:id="78" w:name="_Toc44690709"/>
      <w:bookmarkStart w:id="79" w:name="_Toc44690436"/>
    </w:p>
    <w:p w14:paraId="4AC3515E">
      <w:pPr>
        <w:tabs>
          <w:tab w:val="left" w:pos="371"/>
        </w:tabs>
        <w:spacing w:before="120" w:after="120"/>
        <w:ind w:left="-1" w:leftChars="-1" w:hanging="1"/>
        <w:jc w:val="center"/>
      </w:pPr>
    </w:p>
    <w:p w14:paraId="7901D440">
      <w:pPr>
        <w:tabs>
          <w:tab w:val="left" w:pos="371"/>
        </w:tabs>
        <w:spacing w:before="120" w:after="120"/>
        <w:ind w:left="-1" w:leftChars="-1" w:hanging="1"/>
        <w:jc w:val="center"/>
      </w:pPr>
    </w:p>
    <w:p w14:paraId="7DA6205C">
      <w:pPr>
        <w:tabs>
          <w:tab w:val="left" w:pos="371"/>
        </w:tabs>
        <w:spacing w:before="120" w:after="120"/>
        <w:ind w:left="-1" w:leftChars="-1" w:hanging="1"/>
        <w:jc w:val="center"/>
      </w:pPr>
    </w:p>
    <w:p w14:paraId="02FFC4A9">
      <w:pPr>
        <w:tabs>
          <w:tab w:val="left" w:pos="371"/>
        </w:tabs>
        <w:spacing w:before="120" w:after="120"/>
        <w:ind w:left="-1" w:leftChars="-1" w:hanging="1"/>
        <w:jc w:val="center"/>
      </w:pPr>
    </w:p>
    <w:p w14:paraId="5FABEF60">
      <w:pPr>
        <w:tabs>
          <w:tab w:val="left" w:pos="371"/>
        </w:tabs>
        <w:spacing w:before="120" w:after="120"/>
        <w:ind w:left="-1" w:leftChars="-1" w:hanging="1"/>
        <w:jc w:val="center"/>
      </w:pPr>
    </w:p>
    <w:p w14:paraId="0497A649">
      <w:pPr>
        <w:tabs>
          <w:tab w:val="left" w:pos="371"/>
        </w:tabs>
        <w:spacing w:before="120" w:after="120"/>
        <w:ind w:left="-1" w:leftChars="-1" w:hanging="1"/>
        <w:jc w:val="center"/>
        <w:rPr>
          <w:rFonts w:asciiTheme="minorEastAsia" w:hAnsiTheme="minorEastAsia" w:eastAsiaTheme="minorEastAsia"/>
          <w:sz w:val="24"/>
        </w:rPr>
      </w:pPr>
    </w:p>
    <w:p w14:paraId="52993CC2">
      <w:pPr>
        <w:pStyle w:val="3"/>
        <w:tabs>
          <w:tab w:val="left" w:pos="371"/>
        </w:tabs>
        <w:spacing w:before="120" w:after="120"/>
        <w:ind w:left="-1" w:leftChars="-1" w:hanging="1"/>
        <w:jc w:val="center"/>
        <w:rPr>
          <w:rFonts w:asciiTheme="minorEastAsia" w:hAnsiTheme="minorEastAsia" w:eastAsiaTheme="minorEastAsia"/>
        </w:rPr>
      </w:pPr>
      <w:bookmarkStart w:id="80" w:name="_Toc135293351"/>
    </w:p>
    <w:p w14:paraId="1AC2D466">
      <w:pPr>
        <w:pStyle w:val="3"/>
        <w:tabs>
          <w:tab w:val="left" w:pos="371"/>
        </w:tabs>
        <w:spacing w:before="120" w:after="120"/>
        <w:ind w:left="-1" w:leftChars="-1" w:hanging="1"/>
        <w:jc w:val="center"/>
        <w:rPr>
          <w:rFonts w:asciiTheme="minorEastAsia" w:hAnsiTheme="minorEastAsia" w:eastAsiaTheme="minorEastAsia"/>
        </w:rPr>
      </w:pPr>
      <w:bookmarkStart w:id="81" w:name="_Toc2383"/>
      <w:r>
        <w:rPr>
          <w:rFonts w:hint="eastAsia" w:asciiTheme="minorEastAsia" w:hAnsiTheme="minorEastAsia" w:eastAsiaTheme="minorEastAsia"/>
        </w:rPr>
        <w:t>格式9  售后服务和质量承诺</w:t>
      </w:r>
      <w:bookmarkEnd w:id="76"/>
      <w:bookmarkEnd w:id="77"/>
      <w:bookmarkEnd w:id="78"/>
      <w:bookmarkEnd w:id="79"/>
      <w:bookmarkEnd w:id="80"/>
      <w:bookmarkEnd w:id="81"/>
    </w:p>
    <w:p w14:paraId="6C963728">
      <w:pPr>
        <w:adjustRightInd w:val="0"/>
        <w:snapToGrid w:val="0"/>
        <w:spacing w:line="360" w:lineRule="auto"/>
        <w:rPr>
          <w:rFonts w:ascii="宋体" w:hAnsi="宋体"/>
        </w:rPr>
      </w:pPr>
    </w:p>
    <w:p w14:paraId="698DA199">
      <w:pPr>
        <w:adjustRightInd w:val="0"/>
        <w:snapToGrid w:val="0"/>
        <w:spacing w:line="360" w:lineRule="auto"/>
        <w:rPr>
          <w:rFonts w:ascii="宋体" w:hAnsi="宋体"/>
        </w:rPr>
      </w:pPr>
      <w:r>
        <w:rPr>
          <w:rFonts w:hint="eastAsia" w:ascii="宋体" w:hAnsi="宋体"/>
        </w:rPr>
        <w:t>售后服务方案：</w:t>
      </w:r>
    </w:p>
    <w:p w14:paraId="4E3A8958">
      <w:pPr>
        <w:adjustRightInd w:val="0"/>
        <w:snapToGrid w:val="0"/>
        <w:spacing w:line="360" w:lineRule="auto"/>
        <w:rPr>
          <w:rFonts w:ascii="宋体" w:hAnsi="宋体"/>
          <w:bCs/>
        </w:rPr>
      </w:pPr>
      <w:r>
        <w:rPr>
          <w:rFonts w:hint="eastAsia" w:ascii="宋体" w:hAnsi="宋体"/>
          <w:bCs/>
        </w:rPr>
        <w:t>1、售后服务机构及维护人员配置；</w:t>
      </w:r>
    </w:p>
    <w:p w14:paraId="2C351A78">
      <w:pPr>
        <w:adjustRightInd w:val="0"/>
        <w:snapToGrid w:val="0"/>
        <w:spacing w:line="360" w:lineRule="auto"/>
        <w:rPr>
          <w:rFonts w:ascii="宋体" w:hAnsi="宋体"/>
          <w:bCs/>
        </w:rPr>
      </w:pPr>
      <w:r>
        <w:rPr>
          <w:rFonts w:hint="eastAsia" w:ascii="宋体" w:hAnsi="宋体"/>
          <w:bCs/>
        </w:rPr>
        <w:t>2、维修维护方案；</w:t>
      </w:r>
    </w:p>
    <w:p w14:paraId="13DEA672">
      <w:pPr>
        <w:adjustRightInd w:val="0"/>
        <w:snapToGrid w:val="0"/>
        <w:spacing w:line="360" w:lineRule="auto"/>
        <w:rPr>
          <w:rFonts w:ascii="宋体" w:hAnsi="宋体"/>
          <w:bCs/>
        </w:rPr>
      </w:pPr>
      <w:r>
        <w:rPr>
          <w:rFonts w:hint="eastAsia" w:ascii="宋体" w:hAnsi="宋体"/>
          <w:bCs/>
        </w:rPr>
        <w:t>3、</w:t>
      </w:r>
      <w:r>
        <w:rPr>
          <w:rFonts w:hint="eastAsia" w:ascii="宋体" w:hAnsi="宋体" w:cs="宋体"/>
          <w:szCs w:val="21"/>
        </w:rPr>
        <w:t>技术培训方案</w:t>
      </w:r>
      <w:r>
        <w:rPr>
          <w:rFonts w:hint="eastAsia" w:ascii="宋体" w:hAnsi="宋体"/>
          <w:bCs/>
        </w:rPr>
        <w:t>；</w:t>
      </w:r>
    </w:p>
    <w:p w14:paraId="51865C79">
      <w:pPr>
        <w:adjustRightInd w:val="0"/>
        <w:snapToGrid w:val="0"/>
        <w:spacing w:line="360" w:lineRule="auto"/>
        <w:rPr>
          <w:rFonts w:ascii="宋体" w:hAnsi="宋体"/>
          <w:bCs/>
        </w:rPr>
      </w:pPr>
      <w:r>
        <w:rPr>
          <w:rFonts w:hint="eastAsia" w:ascii="宋体" w:hAnsi="宋体"/>
          <w:bCs/>
        </w:rPr>
        <w:t>4、其它。</w:t>
      </w:r>
    </w:p>
    <w:p w14:paraId="59B020B7">
      <w:pPr>
        <w:adjustRightInd w:val="0"/>
        <w:snapToGrid w:val="0"/>
        <w:spacing w:line="300" w:lineRule="auto"/>
        <w:jc w:val="right"/>
        <w:rPr>
          <w:snapToGrid w:val="0"/>
          <w:kern w:val="0"/>
        </w:rPr>
      </w:pPr>
    </w:p>
    <w:p w14:paraId="18107AC7">
      <w:pPr>
        <w:adjustRightInd w:val="0"/>
        <w:snapToGrid w:val="0"/>
        <w:spacing w:line="300" w:lineRule="auto"/>
        <w:jc w:val="right"/>
        <w:rPr>
          <w:snapToGrid w:val="0"/>
          <w:kern w:val="0"/>
        </w:rPr>
      </w:pPr>
    </w:p>
    <w:p w14:paraId="4339AAF6">
      <w:pPr>
        <w:adjustRightInd w:val="0"/>
        <w:snapToGrid w:val="0"/>
        <w:spacing w:line="300" w:lineRule="auto"/>
        <w:jc w:val="right"/>
        <w:rPr>
          <w:snapToGrid w:val="0"/>
          <w:kern w:val="0"/>
        </w:rPr>
      </w:pPr>
    </w:p>
    <w:p w14:paraId="1EF2267B">
      <w:pPr>
        <w:adjustRightInd w:val="0"/>
        <w:snapToGrid w:val="0"/>
        <w:spacing w:line="300" w:lineRule="auto"/>
        <w:jc w:val="right"/>
        <w:rPr>
          <w:snapToGrid w:val="0"/>
          <w:kern w:val="0"/>
        </w:rPr>
      </w:pPr>
    </w:p>
    <w:p w14:paraId="125EC5D4">
      <w:pPr>
        <w:adjustRightInd w:val="0"/>
        <w:snapToGrid w:val="0"/>
        <w:spacing w:line="300" w:lineRule="auto"/>
        <w:jc w:val="right"/>
        <w:rPr>
          <w:snapToGrid w:val="0"/>
          <w:kern w:val="0"/>
        </w:rPr>
      </w:pPr>
    </w:p>
    <w:p w14:paraId="5F1A303B">
      <w:pPr>
        <w:adjustRightInd w:val="0"/>
        <w:snapToGrid w:val="0"/>
        <w:spacing w:line="300" w:lineRule="auto"/>
        <w:jc w:val="right"/>
        <w:rPr>
          <w:snapToGrid w:val="0"/>
          <w:kern w:val="0"/>
        </w:rPr>
      </w:pPr>
    </w:p>
    <w:p w14:paraId="244C28B6">
      <w:pPr>
        <w:adjustRightInd w:val="0"/>
        <w:snapToGrid w:val="0"/>
        <w:spacing w:line="300" w:lineRule="auto"/>
        <w:jc w:val="right"/>
        <w:rPr>
          <w:snapToGrid w:val="0"/>
          <w:kern w:val="0"/>
        </w:rPr>
      </w:pPr>
    </w:p>
    <w:p w14:paraId="0632644B">
      <w:pPr>
        <w:adjustRightInd w:val="0"/>
        <w:snapToGrid w:val="0"/>
        <w:spacing w:line="300" w:lineRule="auto"/>
        <w:jc w:val="right"/>
        <w:rPr>
          <w:snapToGrid w:val="0"/>
          <w:kern w:val="0"/>
        </w:rPr>
      </w:pPr>
    </w:p>
    <w:p w14:paraId="72E1C991">
      <w:pPr>
        <w:adjustRightInd w:val="0"/>
        <w:snapToGrid w:val="0"/>
        <w:spacing w:line="300" w:lineRule="auto"/>
        <w:jc w:val="right"/>
        <w:rPr>
          <w:snapToGrid w:val="0"/>
          <w:kern w:val="0"/>
        </w:rPr>
      </w:pPr>
    </w:p>
    <w:p w14:paraId="5E6AFA7F">
      <w:pPr>
        <w:adjustRightInd w:val="0"/>
        <w:snapToGrid w:val="0"/>
        <w:spacing w:line="300" w:lineRule="auto"/>
        <w:jc w:val="right"/>
        <w:rPr>
          <w:snapToGrid w:val="0"/>
          <w:kern w:val="0"/>
        </w:rPr>
      </w:pPr>
    </w:p>
    <w:p w14:paraId="76781A92">
      <w:pPr>
        <w:adjustRightInd w:val="0"/>
        <w:snapToGrid w:val="0"/>
        <w:spacing w:line="300" w:lineRule="auto"/>
        <w:jc w:val="right"/>
        <w:rPr>
          <w:snapToGrid w:val="0"/>
          <w:kern w:val="0"/>
        </w:rPr>
      </w:pPr>
    </w:p>
    <w:p w14:paraId="74E4A238">
      <w:pPr>
        <w:adjustRightInd w:val="0"/>
        <w:snapToGrid w:val="0"/>
        <w:spacing w:line="300" w:lineRule="auto"/>
        <w:jc w:val="right"/>
        <w:rPr>
          <w:snapToGrid w:val="0"/>
          <w:kern w:val="0"/>
        </w:rPr>
      </w:pPr>
    </w:p>
    <w:p w14:paraId="72998E3E">
      <w:pPr>
        <w:tabs>
          <w:tab w:val="left" w:pos="1200"/>
        </w:tabs>
        <w:adjustRightInd w:val="0"/>
        <w:snapToGrid w:val="0"/>
        <w:spacing w:line="300" w:lineRule="auto"/>
        <w:rPr>
          <w:snapToGrid w:val="0"/>
          <w:kern w:val="0"/>
        </w:rPr>
      </w:pPr>
    </w:p>
    <w:p w14:paraId="3B1C5E04">
      <w:pPr>
        <w:tabs>
          <w:tab w:val="left" w:pos="1200"/>
        </w:tabs>
        <w:adjustRightInd w:val="0"/>
        <w:snapToGrid w:val="0"/>
        <w:spacing w:line="300" w:lineRule="auto"/>
        <w:rPr>
          <w:snapToGrid w:val="0"/>
          <w:kern w:val="0"/>
        </w:rPr>
      </w:pPr>
    </w:p>
    <w:p w14:paraId="244AB8CE">
      <w:pPr>
        <w:tabs>
          <w:tab w:val="left" w:pos="1200"/>
        </w:tabs>
        <w:adjustRightInd w:val="0"/>
        <w:snapToGrid w:val="0"/>
        <w:spacing w:line="300" w:lineRule="auto"/>
        <w:rPr>
          <w:snapToGrid w:val="0"/>
          <w:kern w:val="0"/>
        </w:rPr>
      </w:pPr>
    </w:p>
    <w:p w14:paraId="3CA9384A">
      <w:pPr>
        <w:tabs>
          <w:tab w:val="left" w:pos="1200"/>
        </w:tabs>
        <w:adjustRightInd w:val="0"/>
        <w:snapToGrid w:val="0"/>
        <w:spacing w:line="300" w:lineRule="auto"/>
        <w:rPr>
          <w:snapToGrid w:val="0"/>
          <w:kern w:val="0"/>
        </w:rPr>
      </w:pPr>
    </w:p>
    <w:p w14:paraId="4151BFA7">
      <w:pPr>
        <w:tabs>
          <w:tab w:val="left" w:pos="1200"/>
        </w:tabs>
        <w:adjustRightInd w:val="0"/>
        <w:snapToGrid w:val="0"/>
        <w:spacing w:line="300" w:lineRule="auto"/>
        <w:rPr>
          <w:snapToGrid w:val="0"/>
          <w:kern w:val="0"/>
        </w:rPr>
      </w:pPr>
    </w:p>
    <w:p w14:paraId="63D59E51">
      <w:pPr>
        <w:tabs>
          <w:tab w:val="left" w:pos="1200"/>
        </w:tabs>
        <w:adjustRightInd w:val="0"/>
        <w:snapToGrid w:val="0"/>
        <w:spacing w:line="300" w:lineRule="auto"/>
        <w:rPr>
          <w:snapToGrid w:val="0"/>
          <w:kern w:val="0"/>
        </w:rPr>
      </w:pPr>
    </w:p>
    <w:p w14:paraId="4622CCB7">
      <w:pPr>
        <w:tabs>
          <w:tab w:val="left" w:pos="1200"/>
        </w:tabs>
        <w:adjustRightInd w:val="0"/>
        <w:snapToGrid w:val="0"/>
        <w:spacing w:line="300" w:lineRule="auto"/>
        <w:rPr>
          <w:snapToGrid w:val="0"/>
          <w:kern w:val="0"/>
        </w:rPr>
      </w:pPr>
    </w:p>
    <w:p w14:paraId="4302EAF8">
      <w:pPr>
        <w:tabs>
          <w:tab w:val="left" w:pos="1200"/>
        </w:tabs>
        <w:adjustRightInd w:val="0"/>
        <w:snapToGrid w:val="0"/>
        <w:spacing w:line="300" w:lineRule="auto"/>
        <w:rPr>
          <w:snapToGrid w:val="0"/>
          <w:kern w:val="0"/>
        </w:rPr>
      </w:pPr>
    </w:p>
    <w:p w14:paraId="50F6CF31">
      <w:pPr>
        <w:tabs>
          <w:tab w:val="left" w:pos="1200"/>
        </w:tabs>
        <w:adjustRightInd w:val="0"/>
        <w:snapToGrid w:val="0"/>
        <w:spacing w:line="300" w:lineRule="auto"/>
        <w:rPr>
          <w:snapToGrid w:val="0"/>
          <w:kern w:val="0"/>
        </w:rPr>
      </w:pPr>
    </w:p>
    <w:p w14:paraId="076B31D6">
      <w:pPr>
        <w:tabs>
          <w:tab w:val="left" w:pos="1200"/>
        </w:tabs>
        <w:adjustRightInd w:val="0"/>
        <w:snapToGrid w:val="0"/>
        <w:spacing w:line="300" w:lineRule="auto"/>
        <w:rPr>
          <w:snapToGrid w:val="0"/>
          <w:kern w:val="0"/>
        </w:rPr>
      </w:pPr>
    </w:p>
    <w:p w14:paraId="5974E846">
      <w:pPr>
        <w:tabs>
          <w:tab w:val="left" w:pos="1200"/>
        </w:tabs>
        <w:adjustRightInd w:val="0"/>
        <w:snapToGrid w:val="0"/>
        <w:spacing w:line="300" w:lineRule="auto"/>
        <w:rPr>
          <w:snapToGrid w:val="0"/>
          <w:kern w:val="0"/>
        </w:rPr>
      </w:pPr>
    </w:p>
    <w:p w14:paraId="39548DC4">
      <w:pPr>
        <w:tabs>
          <w:tab w:val="left" w:pos="1200"/>
        </w:tabs>
        <w:adjustRightInd w:val="0"/>
        <w:snapToGrid w:val="0"/>
        <w:spacing w:line="300" w:lineRule="auto"/>
        <w:rPr>
          <w:snapToGrid w:val="0"/>
          <w:kern w:val="0"/>
        </w:rPr>
      </w:pPr>
    </w:p>
    <w:p w14:paraId="59DB9D93">
      <w:pPr>
        <w:tabs>
          <w:tab w:val="left" w:pos="1200"/>
        </w:tabs>
        <w:adjustRightInd w:val="0"/>
        <w:snapToGrid w:val="0"/>
        <w:spacing w:line="300" w:lineRule="auto"/>
        <w:rPr>
          <w:snapToGrid w:val="0"/>
          <w:kern w:val="0"/>
        </w:rPr>
      </w:pPr>
    </w:p>
    <w:p w14:paraId="01083A8C">
      <w:pPr>
        <w:tabs>
          <w:tab w:val="left" w:pos="1200"/>
        </w:tabs>
        <w:adjustRightInd w:val="0"/>
        <w:snapToGrid w:val="0"/>
        <w:spacing w:line="300" w:lineRule="auto"/>
        <w:rPr>
          <w:snapToGrid w:val="0"/>
          <w:kern w:val="0"/>
        </w:rPr>
      </w:pPr>
    </w:p>
    <w:p w14:paraId="5CB99641">
      <w:pPr>
        <w:tabs>
          <w:tab w:val="left" w:pos="1200"/>
        </w:tabs>
        <w:adjustRightInd w:val="0"/>
        <w:snapToGrid w:val="0"/>
        <w:spacing w:line="300" w:lineRule="auto"/>
        <w:rPr>
          <w:snapToGrid w:val="0"/>
          <w:kern w:val="0"/>
        </w:rPr>
      </w:pPr>
    </w:p>
    <w:p w14:paraId="61207259">
      <w:pPr>
        <w:tabs>
          <w:tab w:val="left" w:pos="1200"/>
        </w:tabs>
        <w:adjustRightInd w:val="0"/>
        <w:snapToGrid w:val="0"/>
        <w:spacing w:line="300" w:lineRule="auto"/>
        <w:rPr>
          <w:snapToGrid w:val="0"/>
          <w:kern w:val="0"/>
        </w:rPr>
      </w:pPr>
    </w:p>
    <w:p w14:paraId="6D633786">
      <w:pPr>
        <w:tabs>
          <w:tab w:val="left" w:pos="1200"/>
        </w:tabs>
        <w:adjustRightInd w:val="0"/>
        <w:snapToGrid w:val="0"/>
        <w:spacing w:line="300" w:lineRule="auto"/>
        <w:rPr>
          <w:snapToGrid w:val="0"/>
          <w:kern w:val="0"/>
        </w:rPr>
      </w:pPr>
      <w:r>
        <w:rPr>
          <w:snapToGrid w:val="0"/>
          <w:kern w:val="0"/>
        </w:rPr>
        <w:br w:type="textWrapping"/>
      </w:r>
    </w:p>
    <w:p w14:paraId="5517FF56">
      <w:pPr>
        <w:pStyle w:val="3"/>
        <w:tabs>
          <w:tab w:val="left" w:pos="371"/>
        </w:tabs>
        <w:spacing w:before="120" w:after="120"/>
        <w:ind w:left="-1" w:leftChars="-1" w:hanging="1"/>
        <w:jc w:val="center"/>
        <w:rPr>
          <w:rFonts w:asciiTheme="minorEastAsia" w:hAnsiTheme="minorEastAsia" w:eastAsiaTheme="minorEastAsia"/>
        </w:rPr>
      </w:pPr>
      <w:bookmarkStart w:id="82" w:name="_格式5__"/>
      <w:bookmarkEnd w:id="82"/>
      <w:bookmarkStart w:id="83" w:name="q15"/>
      <w:bookmarkEnd w:id="83"/>
      <w:bookmarkStart w:id="84" w:name="q16"/>
      <w:bookmarkEnd w:id="84"/>
      <w:bookmarkStart w:id="85" w:name="q17"/>
      <w:bookmarkEnd w:id="85"/>
      <w:bookmarkStart w:id="86" w:name="_格式4__"/>
      <w:bookmarkEnd w:id="86"/>
      <w:bookmarkStart w:id="87" w:name="_格式3__"/>
      <w:bookmarkEnd w:id="87"/>
      <w:bookmarkStart w:id="88" w:name="_格式2__投标保证金凭证"/>
      <w:bookmarkEnd w:id="88"/>
      <w:r>
        <w:rPr>
          <w:rFonts w:asciiTheme="minorEastAsia" w:hAnsiTheme="minorEastAsia" w:eastAsiaTheme="minorEastAsia"/>
        </w:rPr>
        <w:tab/>
      </w:r>
      <w:bookmarkStart w:id="89" w:name="_Toc44691169"/>
      <w:bookmarkStart w:id="90" w:name="_Toc44691401"/>
      <w:bookmarkStart w:id="91" w:name="_Toc44690710"/>
      <w:bookmarkStart w:id="92" w:name="_Toc44690437"/>
      <w:bookmarkStart w:id="93" w:name="_Toc135293352"/>
    </w:p>
    <w:p w14:paraId="4913A36F">
      <w:pPr>
        <w:pStyle w:val="3"/>
        <w:tabs>
          <w:tab w:val="left" w:pos="371"/>
        </w:tabs>
        <w:spacing w:before="120" w:after="120"/>
        <w:ind w:left="-1" w:leftChars="-1" w:hanging="1"/>
        <w:jc w:val="center"/>
        <w:rPr>
          <w:rFonts w:asciiTheme="minorEastAsia" w:hAnsiTheme="minorEastAsia" w:eastAsiaTheme="minorEastAsia"/>
        </w:rPr>
      </w:pPr>
      <w:bookmarkStart w:id="94" w:name="_Toc24600"/>
      <w:r>
        <w:rPr>
          <w:rFonts w:hint="eastAsia" w:asciiTheme="minorEastAsia" w:hAnsiTheme="minorEastAsia" w:eastAsiaTheme="minorEastAsia"/>
        </w:rPr>
        <w:t>格式10  投标人情况介绍</w:t>
      </w:r>
      <w:bookmarkEnd w:id="89"/>
      <w:bookmarkEnd w:id="90"/>
      <w:bookmarkEnd w:id="91"/>
      <w:bookmarkEnd w:id="92"/>
      <w:bookmarkEnd w:id="93"/>
      <w:bookmarkEnd w:id="94"/>
    </w:p>
    <w:p w14:paraId="355B81A8">
      <w:pPr>
        <w:snapToGrid w:val="0"/>
        <w:spacing w:line="300" w:lineRule="auto"/>
        <w:rPr>
          <w:rFonts w:ascii="宋体" w:hAnsi="宋体"/>
        </w:rPr>
      </w:pPr>
    </w:p>
    <w:p w14:paraId="47F9738C">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10A22A6">
      <w:pPr>
        <w:adjustRightInd w:val="0"/>
        <w:snapToGrid w:val="0"/>
        <w:spacing w:line="360" w:lineRule="auto"/>
        <w:rPr>
          <w:rFonts w:ascii="宋体" w:hAnsi="宋体"/>
          <w:bCs/>
          <w:snapToGrid w:val="0"/>
          <w:kern w:val="0"/>
          <w:szCs w:val="21"/>
        </w:rPr>
      </w:pPr>
    </w:p>
    <w:p w14:paraId="3BA73C77">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2C4E1C66">
      <w:pPr>
        <w:adjustRightInd w:val="0"/>
        <w:snapToGrid w:val="0"/>
        <w:spacing w:line="360" w:lineRule="auto"/>
        <w:rPr>
          <w:bCs/>
          <w:snapToGrid w:val="0"/>
          <w:kern w:val="0"/>
        </w:rPr>
      </w:pPr>
    </w:p>
    <w:p w14:paraId="376601FC">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4D199371">
      <w:pPr>
        <w:adjustRightInd w:val="0"/>
        <w:snapToGrid w:val="0"/>
        <w:spacing w:line="360" w:lineRule="auto"/>
        <w:rPr>
          <w:bCs/>
        </w:rPr>
      </w:pPr>
    </w:p>
    <w:p w14:paraId="5E0E08FF">
      <w:pPr>
        <w:jc w:val="center"/>
        <w:rPr>
          <w:snapToGrid w:val="0"/>
          <w:kern w:val="0"/>
        </w:rPr>
      </w:pPr>
    </w:p>
    <w:p w14:paraId="563A0353">
      <w:pPr>
        <w:jc w:val="center"/>
        <w:rPr>
          <w:snapToGrid w:val="0"/>
          <w:kern w:val="0"/>
        </w:rPr>
      </w:pPr>
    </w:p>
    <w:p w14:paraId="53B23E67">
      <w:pPr>
        <w:jc w:val="center"/>
        <w:rPr>
          <w:snapToGrid w:val="0"/>
          <w:kern w:val="0"/>
        </w:rPr>
      </w:pPr>
    </w:p>
    <w:p w14:paraId="006108A3">
      <w:pPr>
        <w:jc w:val="center"/>
        <w:rPr>
          <w:snapToGrid w:val="0"/>
          <w:kern w:val="0"/>
        </w:rPr>
      </w:pPr>
    </w:p>
    <w:p w14:paraId="2D919893">
      <w:pPr>
        <w:jc w:val="center"/>
        <w:rPr>
          <w:snapToGrid w:val="0"/>
          <w:kern w:val="0"/>
        </w:rPr>
      </w:pPr>
    </w:p>
    <w:p w14:paraId="0810C616">
      <w:pPr>
        <w:jc w:val="center"/>
        <w:rPr>
          <w:snapToGrid w:val="0"/>
          <w:kern w:val="0"/>
        </w:rPr>
      </w:pPr>
    </w:p>
    <w:p w14:paraId="13567D0D">
      <w:pPr>
        <w:jc w:val="center"/>
        <w:rPr>
          <w:snapToGrid w:val="0"/>
          <w:kern w:val="0"/>
        </w:rPr>
      </w:pPr>
    </w:p>
    <w:p w14:paraId="20D5D94A">
      <w:pPr>
        <w:jc w:val="center"/>
        <w:rPr>
          <w:snapToGrid w:val="0"/>
          <w:kern w:val="0"/>
        </w:rPr>
      </w:pPr>
    </w:p>
    <w:p w14:paraId="65C612A8">
      <w:pPr>
        <w:jc w:val="center"/>
        <w:rPr>
          <w:snapToGrid w:val="0"/>
          <w:kern w:val="0"/>
        </w:rPr>
      </w:pPr>
    </w:p>
    <w:p w14:paraId="427C8AF9">
      <w:pPr>
        <w:jc w:val="center"/>
        <w:rPr>
          <w:snapToGrid w:val="0"/>
          <w:kern w:val="0"/>
        </w:rPr>
      </w:pPr>
    </w:p>
    <w:p w14:paraId="435C982A">
      <w:pPr>
        <w:jc w:val="center"/>
        <w:rPr>
          <w:snapToGrid w:val="0"/>
          <w:kern w:val="0"/>
        </w:rPr>
      </w:pPr>
    </w:p>
    <w:p w14:paraId="35A03312">
      <w:pPr>
        <w:jc w:val="center"/>
        <w:rPr>
          <w:snapToGrid w:val="0"/>
          <w:kern w:val="0"/>
        </w:rPr>
      </w:pPr>
    </w:p>
    <w:p w14:paraId="3A65D4FA">
      <w:pPr>
        <w:jc w:val="center"/>
        <w:rPr>
          <w:snapToGrid w:val="0"/>
          <w:kern w:val="0"/>
        </w:rPr>
      </w:pPr>
    </w:p>
    <w:p w14:paraId="4B72098E">
      <w:pPr>
        <w:jc w:val="center"/>
        <w:rPr>
          <w:snapToGrid w:val="0"/>
          <w:kern w:val="0"/>
        </w:rPr>
      </w:pPr>
    </w:p>
    <w:p w14:paraId="54D0BB32">
      <w:pPr>
        <w:jc w:val="center"/>
        <w:rPr>
          <w:snapToGrid w:val="0"/>
          <w:kern w:val="0"/>
        </w:rPr>
      </w:pPr>
    </w:p>
    <w:p w14:paraId="42A31B84">
      <w:pPr>
        <w:jc w:val="center"/>
        <w:rPr>
          <w:snapToGrid w:val="0"/>
          <w:kern w:val="0"/>
        </w:rPr>
      </w:pPr>
    </w:p>
    <w:p w14:paraId="4DF047B4">
      <w:pPr>
        <w:jc w:val="center"/>
        <w:rPr>
          <w:snapToGrid w:val="0"/>
          <w:kern w:val="0"/>
        </w:rPr>
      </w:pPr>
    </w:p>
    <w:p w14:paraId="3B319E3A">
      <w:pPr>
        <w:jc w:val="center"/>
        <w:rPr>
          <w:snapToGrid w:val="0"/>
          <w:kern w:val="0"/>
        </w:rPr>
      </w:pPr>
    </w:p>
    <w:p w14:paraId="6EE26A20">
      <w:pPr>
        <w:jc w:val="center"/>
        <w:rPr>
          <w:snapToGrid w:val="0"/>
          <w:kern w:val="0"/>
        </w:rPr>
      </w:pPr>
    </w:p>
    <w:p w14:paraId="1023C82E">
      <w:pPr>
        <w:jc w:val="center"/>
        <w:rPr>
          <w:snapToGrid w:val="0"/>
          <w:kern w:val="0"/>
        </w:rPr>
      </w:pPr>
    </w:p>
    <w:p w14:paraId="2D49E512">
      <w:pPr>
        <w:jc w:val="center"/>
        <w:rPr>
          <w:snapToGrid w:val="0"/>
          <w:kern w:val="0"/>
        </w:rPr>
      </w:pPr>
    </w:p>
    <w:p w14:paraId="3CCEFF32">
      <w:pPr>
        <w:jc w:val="center"/>
        <w:rPr>
          <w:snapToGrid w:val="0"/>
          <w:kern w:val="0"/>
        </w:rPr>
      </w:pPr>
    </w:p>
    <w:p w14:paraId="1A8973A4">
      <w:pPr>
        <w:jc w:val="center"/>
        <w:rPr>
          <w:snapToGrid w:val="0"/>
          <w:kern w:val="0"/>
        </w:rPr>
      </w:pPr>
    </w:p>
    <w:p w14:paraId="512DDFF2">
      <w:pPr>
        <w:jc w:val="center"/>
        <w:rPr>
          <w:snapToGrid w:val="0"/>
          <w:kern w:val="0"/>
        </w:rPr>
      </w:pPr>
    </w:p>
    <w:p w14:paraId="5DBCC279">
      <w:pPr>
        <w:jc w:val="center"/>
        <w:rPr>
          <w:snapToGrid w:val="0"/>
          <w:kern w:val="0"/>
        </w:rPr>
      </w:pPr>
    </w:p>
    <w:p w14:paraId="14571E71">
      <w:pPr>
        <w:jc w:val="center"/>
        <w:rPr>
          <w:snapToGrid w:val="0"/>
          <w:kern w:val="0"/>
        </w:rPr>
      </w:pPr>
    </w:p>
    <w:p w14:paraId="414CFF67">
      <w:pPr>
        <w:jc w:val="center"/>
        <w:rPr>
          <w:snapToGrid w:val="0"/>
          <w:kern w:val="0"/>
        </w:rPr>
      </w:pPr>
    </w:p>
    <w:p w14:paraId="0A477AB4">
      <w:pPr>
        <w:jc w:val="center"/>
        <w:rPr>
          <w:snapToGrid w:val="0"/>
          <w:kern w:val="0"/>
        </w:rPr>
      </w:pPr>
    </w:p>
    <w:p w14:paraId="793A124B">
      <w:pPr>
        <w:jc w:val="center"/>
        <w:rPr>
          <w:snapToGrid w:val="0"/>
          <w:kern w:val="0"/>
        </w:rPr>
      </w:pPr>
    </w:p>
    <w:p w14:paraId="18C695AB">
      <w:pPr>
        <w:jc w:val="center"/>
        <w:rPr>
          <w:snapToGrid w:val="0"/>
          <w:kern w:val="0"/>
        </w:rPr>
      </w:pPr>
    </w:p>
    <w:p w14:paraId="23B925E5">
      <w:pPr>
        <w:jc w:val="center"/>
        <w:rPr>
          <w:snapToGrid w:val="0"/>
          <w:kern w:val="0"/>
        </w:rPr>
      </w:pPr>
    </w:p>
    <w:p w14:paraId="77C0D18D">
      <w:pPr>
        <w:jc w:val="center"/>
        <w:rPr>
          <w:snapToGrid w:val="0"/>
          <w:kern w:val="0"/>
        </w:rPr>
      </w:pPr>
    </w:p>
    <w:p w14:paraId="0C6ABD9B">
      <w:pPr>
        <w:spacing w:line="360" w:lineRule="auto"/>
        <w:jc w:val="center"/>
        <w:rPr>
          <w:b/>
          <w:szCs w:val="21"/>
        </w:rPr>
      </w:pPr>
      <w:bookmarkStart w:id="95" w:name="_格式7__投标人资格声明"/>
      <w:bookmarkEnd w:id="95"/>
      <w:bookmarkStart w:id="96" w:name="q40"/>
    </w:p>
    <w:p w14:paraId="2C9B958A">
      <w:pPr>
        <w:pStyle w:val="3"/>
        <w:tabs>
          <w:tab w:val="left" w:pos="371"/>
        </w:tabs>
        <w:spacing w:before="120" w:after="120"/>
        <w:ind w:left="-1" w:leftChars="-1" w:hanging="1"/>
        <w:jc w:val="center"/>
        <w:rPr>
          <w:rFonts w:asciiTheme="minorEastAsia" w:hAnsiTheme="minorEastAsia" w:eastAsiaTheme="minorEastAsia"/>
        </w:rPr>
      </w:pPr>
      <w:bookmarkStart w:id="97" w:name="_Toc135293353"/>
      <w:bookmarkStart w:id="98" w:name="_Toc9453"/>
      <w:r>
        <w:rPr>
          <w:rFonts w:hint="eastAsia" w:asciiTheme="minorEastAsia" w:hAnsiTheme="minorEastAsia" w:eastAsiaTheme="minorEastAsia"/>
        </w:rPr>
        <w:t>格式11  偏离表</w:t>
      </w:r>
      <w:bookmarkEnd w:id="97"/>
      <w:bookmarkEnd w:id="98"/>
    </w:p>
    <w:bookmarkEnd w:id="96"/>
    <w:p w14:paraId="7712A9A5">
      <w:pPr>
        <w:spacing w:line="360" w:lineRule="auto"/>
        <w:jc w:val="center"/>
      </w:pPr>
    </w:p>
    <w:p w14:paraId="6DEB74E8">
      <w:pPr>
        <w:snapToGrid w:val="0"/>
        <w:spacing w:line="360" w:lineRule="auto"/>
        <w:jc w:val="center"/>
        <w:rPr>
          <w:b/>
        </w:rPr>
      </w:pPr>
      <w:r>
        <w:rPr>
          <w:rFonts w:hint="eastAsia"/>
          <w:b/>
        </w:rPr>
        <w:t>技术规格偏离表</w:t>
      </w:r>
    </w:p>
    <w:tbl>
      <w:tblPr>
        <w:tblStyle w:val="51"/>
        <w:tblW w:w="10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095"/>
        <w:gridCol w:w="4020"/>
        <w:gridCol w:w="2190"/>
        <w:gridCol w:w="1360"/>
        <w:gridCol w:w="1110"/>
      </w:tblGrid>
      <w:tr w14:paraId="03C0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343B99BE">
            <w:pPr>
              <w:spacing w:line="360" w:lineRule="auto"/>
              <w:jc w:val="center"/>
              <w:rPr>
                <w:rFonts w:ascii="宋体" w:hAnsi="宋体"/>
                <w:szCs w:val="21"/>
              </w:rPr>
            </w:pPr>
            <w:r>
              <w:rPr>
                <w:rFonts w:hint="eastAsia" w:ascii="宋体" w:hAnsi="宋体"/>
                <w:szCs w:val="21"/>
              </w:rPr>
              <w:t>序号</w:t>
            </w:r>
          </w:p>
        </w:tc>
        <w:tc>
          <w:tcPr>
            <w:tcW w:w="1095" w:type="dxa"/>
            <w:vAlign w:val="center"/>
          </w:tcPr>
          <w:p w14:paraId="305680D9">
            <w:pPr>
              <w:spacing w:line="360" w:lineRule="auto"/>
              <w:jc w:val="center"/>
              <w:rPr>
                <w:rFonts w:ascii="宋体" w:hAnsi="宋体"/>
                <w:szCs w:val="21"/>
              </w:rPr>
            </w:pPr>
            <w:r>
              <w:rPr>
                <w:rFonts w:hint="eastAsia" w:ascii="宋体" w:hAnsi="宋体"/>
                <w:szCs w:val="21"/>
              </w:rPr>
              <w:t>货物名称</w:t>
            </w:r>
          </w:p>
        </w:tc>
        <w:tc>
          <w:tcPr>
            <w:tcW w:w="4020" w:type="dxa"/>
            <w:vAlign w:val="center"/>
          </w:tcPr>
          <w:p w14:paraId="1D3B0098">
            <w:pPr>
              <w:spacing w:line="360" w:lineRule="auto"/>
              <w:jc w:val="center"/>
              <w:rPr>
                <w:rFonts w:ascii="宋体" w:hAnsi="宋体"/>
                <w:szCs w:val="21"/>
              </w:rPr>
            </w:pPr>
            <w:r>
              <w:rPr>
                <w:rFonts w:hint="eastAsia" w:ascii="宋体" w:hAnsi="宋体"/>
                <w:szCs w:val="21"/>
              </w:rPr>
              <w:t>招标技术要求</w:t>
            </w:r>
          </w:p>
        </w:tc>
        <w:tc>
          <w:tcPr>
            <w:tcW w:w="2190" w:type="dxa"/>
            <w:vAlign w:val="center"/>
          </w:tcPr>
          <w:p w14:paraId="11DA10B4">
            <w:pPr>
              <w:spacing w:line="360" w:lineRule="auto"/>
              <w:jc w:val="center"/>
              <w:rPr>
                <w:rFonts w:ascii="宋体" w:hAnsi="宋体"/>
                <w:szCs w:val="21"/>
              </w:rPr>
            </w:pPr>
            <w:r>
              <w:rPr>
                <w:rFonts w:hint="eastAsia" w:ascii="宋体" w:hAnsi="宋体"/>
                <w:szCs w:val="21"/>
              </w:rPr>
              <w:t>投标技术响应</w:t>
            </w:r>
          </w:p>
        </w:tc>
        <w:tc>
          <w:tcPr>
            <w:tcW w:w="1360" w:type="dxa"/>
            <w:vAlign w:val="center"/>
          </w:tcPr>
          <w:p w14:paraId="452DD4A7">
            <w:pPr>
              <w:spacing w:line="360" w:lineRule="auto"/>
              <w:jc w:val="center"/>
              <w:rPr>
                <w:rFonts w:ascii="宋体" w:hAnsi="宋体"/>
                <w:szCs w:val="21"/>
              </w:rPr>
            </w:pPr>
            <w:r>
              <w:rPr>
                <w:rFonts w:hint="eastAsia" w:ascii="宋体" w:hAnsi="宋体"/>
                <w:szCs w:val="21"/>
              </w:rPr>
              <w:t>偏离情况</w:t>
            </w:r>
          </w:p>
        </w:tc>
        <w:tc>
          <w:tcPr>
            <w:tcW w:w="1110" w:type="dxa"/>
            <w:vAlign w:val="center"/>
          </w:tcPr>
          <w:p w14:paraId="2534BA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说明</w:t>
            </w:r>
          </w:p>
        </w:tc>
      </w:tr>
      <w:tr w14:paraId="1551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753AE45A">
            <w:pPr>
              <w:spacing w:line="360" w:lineRule="auto"/>
              <w:jc w:val="center"/>
              <w:rPr>
                <w:rFonts w:hint="eastAsia" w:ascii="宋体" w:hAnsi="宋体" w:eastAsia="宋体"/>
                <w:szCs w:val="21"/>
                <w:lang w:val="en-US" w:eastAsia="zh-CN"/>
              </w:rPr>
            </w:pPr>
            <w:r>
              <w:rPr>
                <w:rFonts w:hint="eastAsia" w:ascii="宋体" w:hAnsi="宋体"/>
                <w:szCs w:val="21"/>
                <w:lang w:val="en-US" w:eastAsia="zh-CN"/>
              </w:rPr>
              <w:t>1</w:t>
            </w:r>
          </w:p>
        </w:tc>
        <w:tc>
          <w:tcPr>
            <w:tcW w:w="1095" w:type="dxa"/>
            <w:vMerge w:val="restart"/>
            <w:vAlign w:val="center"/>
          </w:tcPr>
          <w:p w14:paraId="03812FD6">
            <w:pPr>
              <w:spacing w:line="360" w:lineRule="auto"/>
              <w:jc w:val="center"/>
              <w:rPr>
                <w:rFonts w:ascii="宋体" w:hAnsi="宋体"/>
                <w:szCs w:val="21"/>
              </w:rPr>
            </w:pPr>
            <w:r>
              <w:rPr>
                <w:rFonts w:hint="eastAsia" w:ascii="宋体" w:hAnsi="宋体" w:eastAsia="宋体" w:cs="宋体"/>
                <w:sz w:val="21"/>
                <w:szCs w:val="21"/>
              </w:rPr>
              <w:t>手持式化学探测器</w:t>
            </w:r>
          </w:p>
        </w:tc>
        <w:tc>
          <w:tcPr>
            <w:tcW w:w="4020" w:type="dxa"/>
            <w:vAlign w:val="center"/>
          </w:tcPr>
          <w:p w14:paraId="463A385F">
            <w:pPr>
              <w:pStyle w:val="19"/>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Cs w:val="21"/>
              </w:rPr>
            </w:pPr>
            <w:r>
              <w:rPr>
                <w:rFonts w:hint="eastAsia" w:ascii="宋体" w:hAnsi="宋体" w:eastAsia="宋体" w:cs="宋体"/>
                <w:sz w:val="21"/>
                <w:szCs w:val="21"/>
              </w:rPr>
              <w:t>▲1、检测项目：可燃/有毒气体（包括但不限于）：CWA（化学战剂）、TIC（工业毒气）、VOCs；覆盖检测物质≥100种，包含但不限于：沙林（GB）、梭曼（GD）、维埃克斯（VX）、甲氟膦酸环己酯（GF）、芥子气（HD）、光气（CG）等化学毒剂、DMMP甲基膦酸二甲酯毒剂前体、氯化氢、氨气、硫化氢、氯气、二氧化硫、一氧化氮、二硫化碳等工业毒气【提供产品彩页或产品说明书关键页或厂家参数确认函（相关参数在证明材料中标示）并加盖投标人公章】</w:t>
            </w:r>
          </w:p>
        </w:tc>
        <w:tc>
          <w:tcPr>
            <w:tcW w:w="2190" w:type="dxa"/>
            <w:vAlign w:val="center"/>
          </w:tcPr>
          <w:p w14:paraId="15013F94">
            <w:pPr>
              <w:spacing w:line="360" w:lineRule="auto"/>
              <w:jc w:val="center"/>
              <w:rPr>
                <w:rFonts w:ascii="宋体" w:hAnsi="宋体"/>
                <w:szCs w:val="21"/>
              </w:rPr>
            </w:pPr>
          </w:p>
        </w:tc>
        <w:tc>
          <w:tcPr>
            <w:tcW w:w="1360" w:type="dxa"/>
            <w:vAlign w:val="center"/>
          </w:tcPr>
          <w:p w14:paraId="7DDA8668">
            <w:pPr>
              <w:spacing w:line="360" w:lineRule="auto"/>
              <w:jc w:val="center"/>
              <w:rPr>
                <w:rFonts w:ascii="宋体" w:hAnsi="宋体"/>
                <w:szCs w:val="21"/>
              </w:rPr>
            </w:pPr>
          </w:p>
        </w:tc>
        <w:tc>
          <w:tcPr>
            <w:tcW w:w="1110" w:type="dxa"/>
            <w:vAlign w:val="center"/>
          </w:tcPr>
          <w:p w14:paraId="2E80AC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17A5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6B1FA156">
            <w:pPr>
              <w:spacing w:line="360" w:lineRule="auto"/>
              <w:jc w:val="center"/>
              <w:rPr>
                <w:rFonts w:hint="eastAsia" w:ascii="宋体" w:hAnsi="宋体" w:eastAsia="宋体"/>
                <w:szCs w:val="21"/>
                <w:lang w:val="en-US" w:eastAsia="zh-CN"/>
              </w:rPr>
            </w:pPr>
            <w:r>
              <w:rPr>
                <w:rFonts w:hint="eastAsia" w:ascii="宋体" w:hAnsi="宋体"/>
                <w:szCs w:val="21"/>
                <w:lang w:val="en-US" w:eastAsia="zh-CN"/>
              </w:rPr>
              <w:t>2</w:t>
            </w:r>
          </w:p>
        </w:tc>
        <w:tc>
          <w:tcPr>
            <w:tcW w:w="1095" w:type="dxa"/>
            <w:vMerge w:val="continue"/>
            <w:vAlign w:val="center"/>
          </w:tcPr>
          <w:p w14:paraId="716DA419">
            <w:pPr>
              <w:spacing w:line="360" w:lineRule="auto"/>
              <w:jc w:val="center"/>
              <w:rPr>
                <w:rFonts w:ascii="宋体" w:hAnsi="宋体"/>
                <w:szCs w:val="21"/>
              </w:rPr>
            </w:pPr>
          </w:p>
        </w:tc>
        <w:tc>
          <w:tcPr>
            <w:tcW w:w="4020" w:type="dxa"/>
            <w:vAlign w:val="center"/>
          </w:tcPr>
          <w:p w14:paraId="7E3967A0">
            <w:pPr>
              <w:spacing w:line="360" w:lineRule="auto"/>
              <w:jc w:val="center"/>
              <w:rPr>
                <w:rFonts w:ascii="宋体" w:hAnsi="宋体"/>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采样间隔</w:t>
            </w:r>
            <w:r>
              <w:rPr>
                <w:rFonts w:hint="eastAsia" w:ascii="宋体" w:hAnsi="宋体" w:eastAsia="宋体" w:cs="宋体"/>
                <w:sz w:val="21"/>
                <w:szCs w:val="21"/>
              </w:rPr>
              <w:t>时间：≤30秒</w:t>
            </w:r>
          </w:p>
        </w:tc>
        <w:tc>
          <w:tcPr>
            <w:tcW w:w="2190" w:type="dxa"/>
            <w:vAlign w:val="center"/>
          </w:tcPr>
          <w:p w14:paraId="1A17B559">
            <w:pPr>
              <w:spacing w:line="360" w:lineRule="auto"/>
              <w:jc w:val="center"/>
              <w:rPr>
                <w:rFonts w:ascii="宋体" w:hAnsi="宋体"/>
                <w:szCs w:val="21"/>
              </w:rPr>
            </w:pPr>
          </w:p>
        </w:tc>
        <w:tc>
          <w:tcPr>
            <w:tcW w:w="1360" w:type="dxa"/>
            <w:vAlign w:val="center"/>
          </w:tcPr>
          <w:p w14:paraId="60F8A145">
            <w:pPr>
              <w:spacing w:line="360" w:lineRule="auto"/>
              <w:jc w:val="center"/>
              <w:rPr>
                <w:rFonts w:ascii="宋体" w:hAnsi="宋体"/>
                <w:szCs w:val="21"/>
              </w:rPr>
            </w:pPr>
          </w:p>
        </w:tc>
        <w:tc>
          <w:tcPr>
            <w:tcW w:w="1110" w:type="dxa"/>
            <w:vAlign w:val="center"/>
          </w:tcPr>
          <w:p w14:paraId="53AF6A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47F5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3B16A10B">
            <w:pPr>
              <w:spacing w:line="360" w:lineRule="auto"/>
              <w:jc w:val="center"/>
              <w:rPr>
                <w:rFonts w:hint="eastAsia" w:ascii="宋体" w:hAnsi="宋体" w:eastAsia="宋体"/>
                <w:szCs w:val="21"/>
                <w:lang w:val="en-US" w:eastAsia="zh-CN"/>
              </w:rPr>
            </w:pPr>
            <w:r>
              <w:rPr>
                <w:rFonts w:hint="eastAsia" w:ascii="宋体" w:hAnsi="宋体"/>
                <w:szCs w:val="21"/>
                <w:lang w:val="en-US" w:eastAsia="zh-CN"/>
              </w:rPr>
              <w:t>3</w:t>
            </w:r>
          </w:p>
        </w:tc>
        <w:tc>
          <w:tcPr>
            <w:tcW w:w="1095" w:type="dxa"/>
            <w:vMerge w:val="continue"/>
            <w:vAlign w:val="center"/>
          </w:tcPr>
          <w:p w14:paraId="1D84DE3F">
            <w:pPr>
              <w:spacing w:line="360" w:lineRule="auto"/>
              <w:jc w:val="center"/>
              <w:rPr>
                <w:rFonts w:ascii="宋体" w:hAnsi="宋体"/>
                <w:szCs w:val="21"/>
              </w:rPr>
            </w:pPr>
          </w:p>
        </w:tc>
        <w:tc>
          <w:tcPr>
            <w:tcW w:w="4020" w:type="dxa"/>
            <w:vAlign w:val="center"/>
          </w:tcPr>
          <w:p w14:paraId="544DB2A9">
            <w:pPr>
              <w:spacing w:line="360" w:lineRule="auto"/>
              <w:jc w:val="center"/>
              <w:rPr>
                <w:rFonts w:ascii="宋体" w:hAnsi="宋体"/>
                <w:szCs w:val="21"/>
              </w:rPr>
            </w:pPr>
            <w:r>
              <w:rPr>
                <w:rFonts w:hint="eastAsia" w:ascii="宋体" w:hAnsi="宋体" w:eastAsia="宋体" w:cs="宋体"/>
                <w:sz w:val="21"/>
                <w:szCs w:val="21"/>
              </w:rPr>
              <w:t>3、检测方法：光谱分析、电化学分析等</w:t>
            </w:r>
          </w:p>
        </w:tc>
        <w:tc>
          <w:tcPr>
            <w:tcW w:w="2190" w:type="dxa"/>
            <w:vAlign w:val="center"/>
          </w:tcPr>
          <w:p w14:paraId="21AF46F6">
            <w:pPr>
              <w:spacing w:line="360" w:lineRule="auto"/>
              <w:jc w:val="center"/>
              <w:rPr>
                <w:rFonts w:ascii="宋体" w:hAnsi="宋体"/>
                <w:szCs w:val="21"/>
              </w:rPr>
            </w:pPr>
          </w:p>
        </w:tc>
        <w:tc>
          <w:tcPr>
            <w:tcW w:w="1360" w:type="dxa"/>
            <w:vAlign w:val="center"/>
          </w:tcPr>
          <w:p w14:paraId="3C827E29">
            <w:pPr>
              <w:spacing w:line="360" w:lineRule="auto"/>
              <w:jc w:val="center"/>
              <w:rPr>
                <w:rFonts w:ascii="宋体" w:hAnsi="宋体"/>
                <w:szCs w:val="21"/>
              </w:rPr>
            </w:pPr>
          </w:p>
        </w:tc>
        <w:tc>
          <w:tcPr>
            <w:tcW w:w="1110" w:type="dxa"/>
            <w:vAlign w:val="center"/>
          </w:tcPr>
          <w:p w14:paraId="6095C1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0D6D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683C9118">
            <w:pPr>
              <w:spacing w:line="360" w:lineRule="auto"/>
              <w:jc w:val="center"/>
              <w:rPr>
                <w:rFonts w:hint="eastAsia" w:ascii="宋体" w:hAnsi="宋体" w:eastAsia="宋体"/>
                <w:szCs w:val="21"/>
                <w:lang w:val="en-US" w:eastAsia="zh-CN"/>
              </w:rPr>
            </w:pPr>
            <w:r>
              <w:rPr>
                <w:rFonts w:hint="eastAsia" w:ascii="宋体" w:hAnsi="宋体"/>
                <w:szCs w:val="21"/>
                <w:lang w:val="en-US" w:eastAsia="zh-CN"/>
              </w:rPr>
              <w:t>4</w:t>
            </w:r>
          </w:p>
        </w:tc>
        <w:tc>
          <w:tcPr>
            <w:tcW w:w="1095" w:type="dxa"/>
            <w:vMerge w:val="continue"/>
            <w:vAlign w:val="center"/>
          </w:tcPr>
          <w:p w14:paraId="6EF4D7CB">
            <w:pPr>
              <w:spacing w:line="360" w:lineRule="auto"/>
              <w:jc w:val="center"/>
              <w:rPr>
                <w:rFonts w:ascii="宋体" w:hAnsi="宋体"/>
                <w:szCs w:val="21"/>
              </w:rPr>
            </w:pPr>
          </w:p>
        </w:tc>
        <w:tc>
          <w:tcPr>
            <w:tcW w:w="4020" w:type="dxa"/>
            <w:vAlign w:val="center"/>
          </w:tcPr>
          <w:p w14:paraId="22FE36C4">
            <w:pPr>
              <w:spacing w:line="360" w:lineRule="auto"/>
              <w:jc w:val="center"/>
              <w:rPr>
                <w:rFonts w:ascii="宋体" w:hAnsi="宋体"/>
                <w:szCs w:val="21"/>
              </w:rPr>
            </w:pPr>
            <w:r>
              <w:rPr>
                <w:rFonts w:hint="eastAsia" w:ascii="宋体" w:hAnsi="宋体" w:eastAsia="宋体" w:cs="宋体"/>
                <w:sz w:val="21"/>
                <w:szCs w:val="21"/>
              </w:rPr>
              <w:t>4、工作温度：0（含）</w:t>
            </w:r>
            <w:r>
              <w:rPr>
                <w:rFonts w:hint="eastAsia" w:ascii="宋体" w:hAnsi="宋体" w:eastAsia="宋体" w:cs="宋体"/>
                <w:bCs/>
                <w:sz w:val="21"/>
                <w:szCs w:val="21"/>
                <w:u w:val="single"/>
              </w:rPr>
              <w:t>~</w:t>
            </w:r>
            <w:r>
              <w:rPr>
                <w:rFonts w:hint="eastAsia" w:ascii="宋体" w:hAnsi="宋体" w:eastAsia="宋体" w:cs="宋体"/>
                <w:sz w:val="21"/>
                <w:szCs w:val="21"/>
              </w:rPr>
              <w:t>50℃（含）</w:t>
            </w:r>
          </w:p>
        </w:tc>
        <w:tc>
          <w:tcPr>
            <w:tcW w:w="2190" w:type="dxa"/>
            <w:vAlign w:val="center"/>
          </w:tcPr>
          <w:p w14:paraId="6B66FF80">
            <w:pPr>
              <w:spacing w:line="360" w:lineRule="auto"/>
              <w:jc w:val="center"/>
              <w:rPr>
                <w:rFonts w:ascii="宋体" w:hAnsi="宋体"/>
                <w:szCs w:val="21"/>
              </w:rPr>
            </w:pPr>
          </w:p>
        </w:tc>
        <w:tc>
          <w:tcPr>
            <w:tcW w:w="1360" w:type="dxa"/>
            <w:vAlign w:val="center"/>
          </w:tcPr>
          <w:p w14:paraId="094B50FF">
            <w:pPr>
              <w:spacing w:line="360" w:lineRule="auto"/>
              <w:jc w:val="center"/>
              <w:rPr>
                <w:rFonts w:ascii="宋体" w:hAnsi="宋体"/>
                <w:szCs w:val="21"/>
              </w:rPr>
            </w:pPr>
          </w:p>
        </w:tc>
        <w:tc>
          <w:tcPr>
            <w:tcW w:w="1110" w:type="dxa"/>
            <w:vAlign w:val="center"/>
          </w:tcPr>
          <w:p w14:paraId="38785A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5B40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6C811DDE">
            <w:pPr>
              <w:spacing w:line="360" w:lineRule="auto"/>
              <w:jc w:val="center"/>
              <w:rPr>
                <w:rFonts w:hint="eastAsia" w:ascii="宋体" w:hAnsi="宋体" w:eastAsia="宋体"/>
                <w:szCs w:val="21"/>
                <w:lang w:val="en-US" w:eastAsia="zh-CN"/>
              </w:rPr>
            </w:pPr>
            <w:r>
              <w:rPr>
                <w:rFonts w:hint="eastAsia" w:ascii="宋体" w:hAnsi="宋体"/>
                <w:szCs w:val="21"/>
                <w:lang w:val="en-US" w:eastAsia="zh-CN"/>
              </w:rPr>
              <w:t>5</w:t>
            </w:r>
          </w:p>
        </w:tc>
        <w:tc>
          <w:tcPr>
            <w:tcW w:w="1095" w:type="dxa"/>
            <w:vMerge w:val="continue"/>
            <w:vAlign w:val="center"/>
          </w:tcPr>
          <w:p w14:paraId="6E0540F6">
            <w:pPr>
              <w:spacing w:line="360" w:lineRule="auto"/>
              <w:jc w:val="center"/>
              <w:rPr>
                <w:rFonts w:ascii="宋体" w:hAnsi="宋体"/>
                <w:szCs w:val="21"/>
              </w:rPr>
            </w:pPr>
          </w:p>
        </w:tc>
        <w:tc>
          <w:tcPr>
            <w:tcW w:w="4020" w:type="dxa"/>
            <w:vAlign w:val="center"/>
          </w:tcPr>
          <w:p w14:paraId="0B403D4D">
            <w:pPr>
              <w:spacing w:line="360" w:lineRule="auto"/>
              <w:jc w:val="center"/>
              <w:rPr>
                <w:rFonts w:hint="eastAsia" w:ascii="宋体" w:hAnsi="宋体" w:eastAsia="宋体" w:cs="宋体"/>
                <w:sz w:val="21"/>
                <w:szCs w:val="21"/>
              </w:rPr>
            </w:pPr>
            <w:r>
              <w:rPr>
                <w:rFonts w:hint="eastAsia" w:ascii="宋体" w:hAnsi="宋体" w:eastAsia="宋体" w:cs="宋体"/>
                <w:sz w:val="21"/>
                <w:szCs w:val="21"/>
              </w:rPr>
              <w:t>5、设备应用于有毒工业化学品（TICs）和化学战剂（CWA）的现场检测、报警、分类、辅助决策，以及持续监测，应具备无线、有线数据传输功能</w:t>
            </w:r>
          </w:p>
        </w:tc>
        <w:tc>
          <w:tcPr>
            <w:tcW w:w="2190" w:type="dxa"/>
            <w:vAlign w:val="center"/>
          </w:tcPr>
          <w:p w14:paraId="727CC8A2">
            <w:pPr>
              <w:spacing w:line="360" w:lineRule="auto"/>
              <w:jc w:val="center"/>
              <w:rPr>
                <w:rFonts w:ascii="宋体" w:hAnsi="宋体"/>
                <w:szCs w:val="21"/>
              </w:rPr>
            </w:pPr>
          </w:p>
        </w:tc>
        <w:tc>
          <w:tcPr>
            <w:tcW w:w="1360" w:type="dxa"/>
            <w:vAlign w:val="center"/>
          </w:tcPr>
          <w:p w14:paraId="016A6870">
            <w:pPr>
              <w:spacing w:line="360" w:lineRule="auto"/>
              <w:jc w:val="center"/>
              <w:rPr>
                <w:rFonts w:ascii="宋体" w:hAnsi="宋体"/>
                <w:szCs w:val="21"/>
              </w:rPr>
            </w:pPr>
          </w:p>
        </w:tc>
        <w:tc>
          <w:tcPr>
            <w:tcW w:w="1110" w:type="dxa"/>
            <w:vAlign w:val="center"/>
          </w:tcPr>
          <w:p w14:paraId="3EF59C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2A5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5F0A3814">
            <w:pPr>
              <w:spacing w:line="360" w:lineRule="auto"/>
              <w:jc w:val="center"/>
              <w:rPr>
                <w:rFonts w:hint="eastAsia" w:ascii="宋体" w:hAnsi="宋体" w:eastAsia="宋体"/>
                <w:szCs w:val="21"/>
                <w:lang w:val="en-US" w:eastAsia="zh-CN"/>
              </w:rPr>
            </w:pPr>
            <w:r>
              <w:rPr>
                <w:rFonts w:hint="eastAsia" w:ascii="宋体" w:hAnsi="宋体"/>
                <w:szCs w:val="21"/>
                <w:lang w:val="en-US" w:eastAsia="zh-CN"/>
              </w:rPr>
              <w:t>6</w:t>
            </w:r>
          </w:p>
        </w:tc>
        <w:tc>
          <w:tcPr>
            <w:tcW w:w="1095" w:type="dxa"/>
            <w:vMerge w:val="continue"/>
            <w:vAlign w:val="center"/>
          </w:tcPr>
          <w:p w14:paraId="46FBC86C">
            <w:pPr>
              <w:spacing w:line="360" w:lineRule="auto"/>
              <w:jc w:val="center"/>
              <w:rPr>
                <w:rFonts w:ascii="宋体" w:hAnsi="宋体"/>
                <w:szCs w:val="21"/>
              </w:rPr>
            </w:pPr>
          </w:p>
        </w:tc>
        <w:tc>
          <w:tcPr>
            <w:tcW w:w="4020" w:type="dxa"/>
            <w:vAlign w:val="center"/>
          </w:tcPr>
          <w:p w14:paraId="708ECC4E">
            <w:pPr>
              <w:spacing w:line="360" w:lineRule="auto"/>
              <w:jc w:val="center"/>
              <w:rPr>
                <w:rFonts w:hint="eastAsia" w:ascii="宋体" w:hAnsi="宋体" w:eastAsia="宋体" w:cs="宋体"/>
                <w:sz w:val="21"/>
                <w:szCs w:val="21"/>
              </w:rPr>
            </w:pPr>
            <w:r>
              <w:rPr>
                <w:rFonts w:hint="eastAsia" w:ascii="宋体" w:hAnsi="宋体" w:eastAsia="宋体" w:cs="宋体"/>
                <w:sz w:val="21"/>
                <w:szCs w:val="21"/>
              </w:rPr>
              <w:t>★6、误判率低：内置的复合阵列传感器模块并联工作，可以互相补充，通过复合算法得出检测结果，设备对目标物质检测无漏检，误报率≤1%，抗干扰能力强，满足现场实战使用要求【提供产品彩页或产品说明书关键页或厂家参数确认函（相关参数在证明材料中标示）并加盖投标人公章】</w:t>
            </w:r>
          </w:p>
        </w:tc>
        <w:tc>
          <w:tcPr>
            <w:tcW w:w="2190" w:type="dxa"/>
            <w:vAlign w:val="center"/>
          </w:tcPr>
          <w:p w14:paraId="020225D9">
            <w:pPr>
              <w:spacing w:line="360" w:lineRule="auto"/>
              <w:jc w:val="center"/>
              <w:rPr>
                <w:rFonts w:ascii="宋体" w:hAnsi="宋体"/>
                <w:szCs w:val="21"/>
              </w:rPr>
            </w:pPr>
          </w:p>
        </w:tc>
        <w:tc>
          <w:tcPr>
            <w:tcW w:w="1360" w:type="dxa"/>
            <w:vAlign w:val="center"/>
          </w:tcPr>
          <w:p w14:paraId="3F78B033">
            <w:pPr>
              <w:spacing w:line="360" w:lineRule="auto"/>
              <w:jc w:val="center"/>
              <w:rPr>
                <w:rFonts w:ascii="宋体" w:hAnsi="宋体"/>
                <w:szCs w:val="21"/>
              </w:rPr>
            </w:pPr>
          </w:p>
        </w:tc>
        <w:tc>
          <w:tcPr>
            <w:tcW w:w="1110" w:type="dxa"/>
            <w:vAlign w:val="center"/>
          </w:tcPr>
          <w:p w14:paraId="1CD88C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7455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256B2EF9">
            <w:pPr>
              <w:spacing w:line="360" w:lineRule="auto"/>
              <w:jc w:val="center"/>
              <w:rPr>
                <w:rFonts w:hint="eastAsia" w:ascii="宋体" w:hAnsi="宋体" w:eastAsia="宋体"/>
                <w:szCs w:val="21"/>
                <w:lang w:val="en-US" w:eastAsia="zh-CN"/>
              </w:rPr>
            </w:pPr>
            <w:r>
              <w:rPr>
                <w:rFonts w:hint="eastAsia" w:ascii="宋体" w:hAnsi="宋体"/>
                <w:szCs w:val="21"/>
                <w:lang w:val="en-US" w:eastAsia="zh-CN"/>
              </w:rPr>
              <w:t>7</w:t>
            </w:r>
          </w:p>
        </w:tc>
        <w:tc>
          <w:tcPr>
            <w:tcW w:w="1095" w:type="dxa"/>
            <w:vMerge w:val="continue"/>
            <w:vAlign w:val="center"/>
          </w:tcPr>
          <w:p w14:paraId="6A96A16D">
            <w:pPr>
              <w:spacing w:line="360" w:lineRule="auto"/>
              <w:jc w:val="center"/>
              <w:rPr>
                <w:rFonts w:ascii="宋体" w:hAnsi="宋体"/>
                <w:szCs w:val="21"/>
              </w:rPr>
            </w:pPr>
          </w:p>
        </w:tc>
        <w:tc>
          <w:tcPr>
            <w:tcW w:w="4020" w:type="dxa"/>
            <w:vAlign w:val="center"/>
          </w:tcPr>
          <w:p w14:paraId="3B82DCD3">
            <w:pPr>
              <w:spacing w:line="360" w:lineRule="auto"/>
              <w:jc w:val="center"/>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、进样方式：连续性进样，内置自动进样泵</w:t>
            </w:r>
          </w:p>
        </w:tc>
        <w:tc>
          <w:tcPr>
            <w:tcW w:w="2190" w:type="dxa"/>
            <w:vAlign w:val="center"/>
          </w:tcPr>
          <w:p w14:paraId="6F8A74EC">
            <w:pPr>
              <w:spacing w:line="360" w:lineRule="auto"/>
              <w:jc w:val="center"/>
              <w:rPr>
                <w:rFonts w:ascii="宋体" w:hAnsi="宋体"/>
                <w:szCs w:val="21"/>
              </w:rPr>
            </w:pPr>
          </w:p>
        </w:tc>
        <w:tc>
          <w:tcPr>
            <w:tcW w:w="1360" w:type="dxa"/>
            <w:vAlign w:val="center"/>
          </w:tcPr>
          <w:p w14:paraId="0FD72FC0">
            <w:pPr>
              <w:spacing w:line="360" w:lineRule="auto"/>
              <w:jc w:val="center"/>
              <w:rPr>
                <w:rFonts w:ascii="宋体" w:hAnsi="宋体"/>
                <w:szCs w:val="21"/>
              </w:rPr>
            </w:pPr>
          </w:p>
        </w:tc>
        <w:tc>
          <w:tcPr>
            <w:tcW w:w="1110" w:type="dxa"/>
            <w:vAlign w:val="center"/>
          </w:tcPr>
          <w:p w14:paraId="38A199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5BD1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21EDA640">
            <w:pPr>
              <w:spacing w:line="360" w:lineRule="auto"/>
              <w:jc w:val="center"/>
              <w:rPr>
                <w:rFonts w:hint="eastAsia" w:ascii="宋体" w:hAnsi="宋体" w:eastAsia="宋体"/>
                <w:szCs w:val="21"/>
                <w:lang w:val="en-US" w:eastAsia="zh-CN"/>
              </w:rPr>
            </w:pPr>
            <w:r>
              <w:rPr>
                <w:rFonts w:hint="eastAsia" w:ascii="宋体" w:hAnsi="宋体"/>
                <w:szCs w:val="21"/>
                <w:lang w:val="en-US" w:eastAsia="zh-CN"/>
              </w:rPr>
              <w:t>8</w:t>
            </w:r>
          </w:p>
        </w:tc>
        <w:tc>
          <w:tcPr>
            <w:tcW w:w="1095" w:type="dxa"/>
            <w:vMerge w:val="continue"/>
            <w:vAlign w:val="center"/>
          </w:tcPr>
          <w:p w14:paraId="6EF50084">
            <w:pPr>
              <w:spacing w:line="360" w:lineRule="auto"/>
              <w:jc w:val="center"/>
              <w:rPr>
                <w:rFonts w:ascii="宋体" w:hAnsi="宋体"/>
                <w:szCs w:val="21"/>
              </w:rPr>
            </w:pPr>
          </w:p>
        </w:tc>
        <w:tc>
          <w:tcPr>
            <w:tcW w:w="4020" w:type="dxa"/>
            <w:vAlign w:val="center"/>
          </w:tcPr>
          <w:p w14:paraId="01B5DD34">
            <w:pPr>
              <w:spacing w:line="360" w:lineRule="auto"/>
              <w:jc w:val="center"/>
              <w:rPr>
                <w:rFonts w:hint="eastAsia" w:ascii="宋体" w:hAnsi="宋体" w:eastAsia="宋体" w:cs="宋体"/>
                <w:sz w:val="21"/>
                <w:szCs w:val="21"/>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化学毒剂探测下限应满足以下要求：沙林（GB）：在检出率不低于90%的前提下≤0.05mg/m³、梭曼（GD）：在检出率不低于90%的前提下≤0.05mg/m³、维埃克斯（VX）：在检出率不低于90%的前提下≤0.05mg/m³、甲氟膦酸环己酯（GF）：在检出率不低于90%的前提下≤0.05mg/m³、芥子气（HD）：在检出率不低于90%的前提下≤0.1mg/m³、光气（CG）：在检出率不低于90%的前提下≤0.5mg/m³；以上均为探测下限浓度</w:t>
            </w:r>
          </w:p>
        </w:tc>
        <w:tc>
          <w:tcPr>
            <w:tcW w:w="2190" w:type="dxa"/>
            <w:vAlign w:val="center"/>
          </w:tcPr>
          <w:p w14:paraId="20C72F77">
            <w:pPr>
              <w:spacing w:line="360" w:lineRule="auto"/>
              <w:jc w:val="center"/>
              <w:rPr>
                <w:rFonts w:ascii="宋体" w:hAnsi="宋体"/>
                <w:szCs w:val="21"/>
              </w:rPr>
            </w:pPr>
          </w:p>
        </w:tc>
        <w:tc>
          <w:tcPr>
            <w:tcW w:w="1360" w:type="dxa"/>
            <w:vAlign w:val="center"/>
          </w:tcPr>
          <w:p w14:paraId="70D0DDF4">
            <w:pPr>
              <w:spacing w:line="360" w:lineRule="auto"/>
              <w:jc w:val="center"/>
              <w:rPr>
                <w:rFonts w:ascii="宋体" w:hAnsi="宋体"/>
                <w:szCs w:val="21"/>
              </w:rPr>
            </w:pPr>
          </w:p>
        </w:tc>
        <w:tc>
          <w:tcPr>
            <w:tcW w:w="1110" w:type="dxa"/>
            <w:vAlign w:val="center"/>
          </w:tcPr>
          <w:p w14:paraId="116081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6B0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6BCCB78F">
            <w:pPr>
              <w:spacing w:line="360" w:lineRule="auto"/>
              <w:jc w:val="center"/>
              <w:rPr>
                <w:rFonts w:hint="eastAsia" w:ascii="宋体" w:hAnsi="宋体" w:eastAsia="宋体"/>
                <w:szCs w:val="21"/>
                <w:lang w:val="en-US" w:eastAsia="zh-CN"/>
              </w:rPr>
            </w:pPr>
            <w:r>
              <w:rPr>
                <w:rFonts w:hint="eastAsia" w:ascii="宋体" w:hAnsi="宋体"/>
                <w:szCs w:val="21"/>
                <w:lang w:val="en-US" w:eastAsia="zh-CN"/>
              </w:rPr>
              <w:t>9</w:t>
            </w:r>
          </w:p>
        </w:tc>
        <w:tc>
          <w:tcPr>
            <w:tcW w:w="1095" w:type="dxa"/>
            <w:vMerge w:val="continue"/>
            <w:vAlign w:val="center"/>
          </w:tcPr>
          <w:p w14:paraId="6C57D79C">
            <w:pPr>
              <w:spacing w:line="360" w:lineRule="auto"/>
              <w:jc w:val="center"/>
              <w:rPr>
                <w:rFonts w:ascii="宋体" w:hAnsi="宋体"/>
                <w:szCs w:val="21"/>
              </w:rPr>
            </w:pPr>
          </w:p>
        </w:tc>
        <w:tc>
          <w:tcPr>
            <w:tcW w:w="4020" w:type="dxa"/>
            <w:vAlign w:val="center"/>
          </w:tcPr>
          <w:p w14:paraId="7E3C6A64">
            <w:pPr>
              <w:spacing w:line="360" w:lineRule="auto"/>
              <w:jc w:val="center"/>
              <w:rPr>
                <w:rFonts w:hint="eastAsia" w:ascii="宋体" w:hAnsi="宋体" w:eastAsia="宋体" w:cs="宋体"/>
                <w:sz w:val="21"/>
                <w:szCs w:val="21"/>
              </w:rPr>
            </w:pPr>
            <w:r>
              <w:rPr>
                <w:rFonts w:hint="eastAsia" w:ascii="宋体" w:hAnsi="宋体" w:eastAsia="宋体" w:cs="宋体"/>
                <w:sz w:val="21"/>
                <w:szCs w:val="21"/>
                <w:highlight w:val="none"/>
              </w:rPr>
              <w:t>▲</w:t>
            </w:r>
            <w:r>
              <w:rPr>
                <w:rFonts w:hint="eastAsia" w:ascii="宋体" w:hAnsi="宋体" w:cs="宋体"/>
                <w:sz w:val="21"/>
                <w:szCs w:val="21"/>
                <w:lang w:val="en-US" w:eastAsia="zh-CN"/>
              </w:rPr>
              <w:t>9</w:t>
            </w:r>
            <w:r>
              <w:rPr>
                <w:rFonts w:hint="eastAsia" w:ascii="宋体" w:hAnsi="宋体" w:eastAsia="宋体" w:cs="宋体"/>
                <w:sz w:val="21"/>
                <w:szCs w:val="21"/>
              </w:rPr>
              <w:t>、工业毒气探测下限应满足以下要求：氯化氢：在检出率不低于100%的前提下≤5 ppm、氨气：在检出率不低于100%的前提下≤5 ppm、硫化氢：在检出率不低于100%的前提下≤5 ppm、氯气：在检出率不低于100%的前提下≤5 ppm、二氧化硫：在检出率不低于100%的前提下≤5 ppm、一氧化氮：在检出率不低于100%的前提下≤5 ppm、二硫化碳：在检出率不低于100%的前提下≤15 ppm；以上均为探测下限浓度</w:t>
            </w:r>
          </w:p>
        </w:tc>
        <w:tc>
          <w:tcPr>
            <w:tcW w:w="2190" w:type="dxa"/>
            <w:vAlign w:val="center"/>
          </w:tcPr>
          <w:p w14:paraId="1B06CAD2">
            <w:pPr>
              <w:spacing w:line="360" w:lineRule="auto"/>
              <w:jc w:val="center"/>
              <w:rPr>
                <w:rFonts w:ascii="宋体" w:hAnsi="宋体"/>
                <w:szCs w:val="21"/>
              </w:rPr>
            </w:pPr>
          </w:p>
        </w:tc>
        <w:tc>
          <w:tcPr>
            <w:tcW w:w="1360" w:type="dxa"/>
            <w:vAlign w:val="center"/>
          </w:tcPr>
          <w:p w14:paraId="17F46664">
            <w:pPr>
              <w:spacing w:line="360" w:lineRule="auto"/>
              <w:jc w:val="center"/>
              <w:rPr>
                <w:rFonts w:ascii="宋体" w:hAnsi="宋体"/>
                <w:szCs w:val="21"/>
              </w:rPr>
            </w:pPr>
          </w:p>
        </w:tc>
        <w:tc>
          <w:tcPr>
            <w:tcW w:w="1110" w:type="dxa"/>
            <w:vAlign w:val="center"/>
          </w:tcPr>
          <w:p w14:paraId="4F032F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7DF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3DFCEB14">
            <w:pPr>
              <w:spacing w:line="360"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1095" w:type="dxa"/>
            <w:vMerge w:val="continue"/>
            <w:vAlign w:val="center"/>
          </w:tcPr>
          <w:p w14:paraId="43D31DD4">
            <w:pPr>
              <w:spacing w:line="360" w:lineRule="auto"/>
              <w:jc w:val="center"/>
              <w:rPr>
                <w:rFonts w:ascii="宋体" w:hAnsi="宋体"/>
                <w:szCs w:val="21"/>
              </w:rPr>
            </w:pPr>
          </w:p>
        </w:tc>
        <w:tc>
          <w:tcPr>
            <w:tcW w:w="4020" w:type="dxa"/>
            <w:vAlign w:val="center"/>
          </w:tcPr>
          <w:p w14:paraId="321C4AFC">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0</w:t>
            </w:r>
            <w:r>
              <w:rPr>
                <w:rFonts w:hint="eastAsia" w:ascii="宋体" w:hAnsi="宋体" w:eastAsia="宋体" w:cs="宋体"/>
                <w:color w:val="000000" w:themeColor="text1"/>
                <w:sz w:val="21"/>
                <w:szCs w:val="21"/>
                <w14:textFill>
                  <w14:solidFill>
                    <w14:schemeClr w14:val="tx1"/>
                  </w14:solidFill>
                </w14:textFill>
              </w:rPr>
              <w:t>、分析时间≤3s【</w:t>
            </w:r>
            <w:r>
              <w:rPr>
                <w:rFonts w:hint="eastAsia" w:ascii="宋体" w:hAnsi="宋体" w:eastAsia="宋体" w:cs="宋体"/>
                <w:sz w:val="21"/>
                <w:szCs w:val="21"/>
              </w:rPr>
              <w:t>提供产品彩页或产品说明书关键页或厂家参数确认函（相关参数在证明材料中标示）并加盖投标人公章】</w:t>
            </w:r>
          </w:p>
        </w:tc>
        <w:tc>
          <w:tcPr>
            <w:tcW w:w="2190" w:type="dxa"/>
            <w:vAlign w:val="center"/>
          </w:tcPr>
          <w:p w14:paraId="3D97E151">
            <w:pPr>
              <w:spacing w:line="360" w:lineRule="auto"/>
              <w:jc w:val="center"/>
              <w:rPr>
                <w:rFonts w:ascii="宋体" w:hAnsi="宋体"/>
                <w:szCs w:val="21"/>
              </w:rPr>
            </w:pPr>
          </w:p>
        </w:tc>
        <w:tc>
          <w:tcPr>
            <w:tcW w:w="1360" w:type="dxa"/>
            <w:vAlign w:val="center"/>
          </w:tcPr>
          <w:p w14:paraId="625E25EA">
            <w:pPr>
              <w:spacing w:line="360" w:lineRule="auto"/>
              <w:jc w:val="center"/>
              <w:rPr>
                <w:rFonts w:ascii="宋体" w:hAnsi="宋体"/>
                <w:szCs w:val="21"/>
              </w:rPr>
            </w:pPr>
          </w:p>
        </w:tc>
        <w:tc>
          <w:tcPr>
            <w:tcW w:w="1110" w:type="dxa"/>
            <w:vAlign w:val="center"/>
          </w:tcPr>
          <w:p w14:paraId="61DC14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46B2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7" w:type="dxa"/>
            <w:vAlign w:val="center"/>
          </w:tcPr>
          <w:p w14:paraId="0F366BC1">
            <w:pPr>
              <w:spacing w:line="360" w:lineRule="auto"/>
              <w:jc w:val="center"/>
              <w:rPr>
                <w:rFonts w:hint="default" w:ascii="宋体" w:hAnsi="宋体" w:eastAsia="宋体"/>
                <w:szCs w:val="21"/>
                <w:lang w:val="en-US" w:eastAsia="zh-CN"/>
              </w:rPr>
            </w:pPr>
            <w:r>
              <w:rPr>
                <w:rFonts w:hint="eastAsia" w:ascii="宋体" w:hAnsi="宋体"/>
                <w:szCs w:val="21"/>
                <w:lang w:val="en-US" w:eastAsia="zh-CN"/>
              </w:rPr>
              <w:t>11</w:t>
            </w:r>
          </w:p>
        </w:tc>
        <w:tc>
          <w:tcPr>
            <w:tcW w:w="1095" w:type="dxa"/>
            <w:vMerge w:val="continue"/>
            <w:vAlign w:val="center"/>
          </w:tcPr>
          <w:p w14:paraId="1D5AFD7F">
            <w:pPr>
              <w:spacing w:line="360" w:lineRule="auto"/>
              <w:jc w:val="center"/>
              <w:rPr>
                <w:rFonts w:ascii="宋体" w:hAnsi="宋体"/>
                <w:szCs w:val="21"/>
              </w:rPr>
            </w:pPr>
          </w:p>
        </w:tc>
        <w:tc>
          <w:tcPr>
            <w:tcW w:w="4020" w:type="dxa"/>
            <w:vAlign w:val="center"/>
          </w:tcPr>
          <w:p w14:paraId="2AA4F5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1</w:t>
            </w:r>
            <w:r>
              <w:rPr>
                <w:rFonts w:hint="eastAsia" w:ascii="宋体" w:hAnsi="宋体" w:eastAsia="宋体" w:cs="宋体"/>
                <w:sz w:val="21"/>
                <w:szCs w:val="21"/>
              </w:rPr>
              <w:t>、单套配置要求：</w:t>
            </w:r>
          </w:p>
          <w:p w14:paraId="0CD84B7B">
            <w:pPr>
              <w:spacing w:line="360" w:lineRule="auto"/>
              <w:jc w:val="center"/>
              <w:rPr>
                <w:rFonts w:hint="eastAsia" w:ascii="宋体" w:hAnsi="宋体" w:eastAsia="宋体" w:cs="宋体"/>
                <w:sz w:val="21"/>
                <w:szCs w:val="21"/>
              </w:rPr>
            </w:pPr>
            <w:r>
              <w:rPr>
                <w:rFonts w:hint="eastAsia" w:ascii="宋体" w:hAnsi="宋体" w:eastAsia="宋体" w:cs="宋体"/>
                <w:sz w:val="21"/>
                <w:szCs w:val="21"/>
              </w:rPr>
              <w:t>主机一台，数据线一根，充电器一个，便携箱一个。</w:t>
            </w:r>
          </w:p>
        </w:tc>
        <w:tc>
          <w:tcPr>
            <w:tcW w:w="2190" w:type="dxa"/>
            <w:vAlign w:val="center"/>
          </w:tcPr>
          <w:p w14:paraId="4087389E">
            <w:pPr>
              <w:spacing w:line="360" w:lineRule="auto"/>
              <w:jc w:val="center"/>
              <w:rPr>
                <w:rFonts w:ascii="宋体" w:hAnsi="宋体"/>
                <w:szCs w:val="21"/>
              </w:rPr>
            </w:pPr>
          </w:p>
        </w:tc>
        <w:tc>
          <w:tcPr>
            <w:tcW w:w="1360" w:type="dxa"/>
            <w:vAlign w:val="center"/>
          </w:tcPr>
          <w:p w14:paraId="4842D523">
            <w:pPr>
              <w:spacing w:line="360" w:lineRule="auto"/>
              <w:jc w:val="center"/>
              <w:rPr>
                <w:rFonts w:ascii="宋体" w:hAnsi="宋体"/>
                <w:szCs w:val="21"/>
              </w:rPr>
            </w:pPr>
          </w:p>
        </w:tc>
        <w:tc>
          <w:tcPr>
            <w:tcW w:w="1110" w:type="dxa"/>
            <w:vAlign w:val="center"/>
          </w:tcPr>
          <w:p w14:paraId="4908E2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14:paraId="3D837301">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75D2F13E">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14:paraId="24A883DD">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098F068B">
      <w:pPr>
        <w:adjustRightInd w:val="0"/>
        <w:snapToGrid w:val="0"/>
        <w:spacing w:line="360" w:lineRule="auto"/>
        <w:rPr>
          <w:bCs/>
          <w:snapToGrid w:val="0"/>
        </w:rPr>
      </w:pPr>
    </w:p>
    <w:p w14:paraId="3BFC38AF">
      <w:pPr>
        <w:snapToGrid w:val="0"/>
        <w:spacing w:line="360" w:lineRule="auto"/>
        <w:jc w:val="center"/>
        <w:rPr>
          <w:b/>
        </w:rPr>
      </w:pPr>
      <w:r>
        <w:rPr>
          <w:rFonts w:hint="eastAsia"/>
          <w:b/>
        </w:rPr>
        <w:t>商务条款偏离表</w:t>
      </w:r>
    </w:p>
    <w:tbl>
      <w:tblPr>
        <w:tblStyle w:val="51"/>
        <w:tblW w:w="10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4010"/>
        <w:gridCol w:w="2175"/>
        <w:gridCol w:w="1470"/>
        <w:gridCol w:w="2001"/>
      </w:tblGrid>
      <w:tr w14:paraId="3966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462199F9">
            <w:pPr>
              <w:spacing w:line="360" w:lineRule="auto"/>
              <w:jc w:val="center"/>
              <w:rPr>
                <w:rFonts w:ascii="宋体" w:hAnsi="宋体"/>
                <w:szCs w:val="21"/>
              </w:rPr>
            </w:pPr>
            <w:r>
              <w:rPr>
                <w:rFonts w:hint="eastAsia" w:ascii="宋体" w:hAnsi="宋体"/>
                <w:szCs w:val="21"/>
              </w:rPr>
              <w:t>序号</w:t>
            </w:r>
          </w:p>
        </w:tc>
        <w:tc>
          <w:tcPr>
            <w:tcW w:w="4010" w:type="dxa"/>
            <w:vAlign w:val="center"/>
          </w:tcPr>
          <w:p w14:paraId="609DC1AA">
            <w:pPr>
              <w:spacing w:line="360" w:lineRule="auto"/>
              <w:jc w:val="center"/>
              <w:rPr>
                <w:rFonts w:ascii="宋体" w:hAnsi="宋体"/>
                <w:szCs w:val="21"/>
              </w:rPr>
            </w:pPr>
            <w:r>
              <w:rPr>
                <w:rFonts w:hint="eastAsia" w:ascii="宋体" w:hAnsi="宋体"/>
                <w:szCs w:val="21"/>
              </w:rPr>
              <w:t>招标商务需求</w:t>
            </w:r>
          </w:p>
        </w:tc>
        <w:tc>
          <w:tcPr>
            <w:tcW w:w="2175" w:type="dxa"/>
            <w:vAlign w:val="center"/>
          </w:tcPr>
          <w:p w14:paraId="10E88147">
            <w:pPr>
              <w:spacing w:line="360" w:lineRule="auto"/>
              <w:jc w:val="center"/>
              <w:rPr>
                <w:rFonts w:ascii="宋体" w:hAnsi="宋体"/>
                <w:szCs w:val="21"/>
              </w:rPr>
            </w:pPr>
            <w:r>
              <w:rPr>
                <w:rFonts w:hint="eastAsia" w:ascii="宋体" w:hAnsi="宋体"/>
                <w:szCs w:val="21"/>
              </w:rPr>
              <w:t>投标商务响应</w:t>
            </w:r>
          </w:p>
        </w:tc>
        <w:tc>
          <w:tcPr>
            <w:tcW w:w="1470" w:type="dxa"/>
            <w:vAlign w:val="center"/>
          </w:tcPr>
          <w:p w14:paraId="7FA75958">
            <w:pPr>
              <w:spacing w:line="360" w:lineRule="auto"/>
              <w:jc w:val="center"/>
              <w:rPr>
                <w:rFonts w:ascii="宋体" w:hAnsi="宋体"/>
                <w:szCs w:val="21"/>
              </w:rPr>
            </w:pPr>
            <w:r>
              <w:rPr>
                <w:rFonts w:hint="eastAsia" w:ascii="宋体" w:hAnsi="宋体"/>
                <w:szCs w:val="21"/>
              </w:rPr>
              <w:t>偏离情况</w:t>
            </w:r>
          </w:p>
        </w:tc>
        <w:tc>
          <w:tcPr>
            <w:tcW w:w="2001" w:type="dxa"/>
            <w:vAlign w:val="center"/>
          </w:tcPr>
          <w:p w14:paraId="7899C5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说明</w:t>
            </w:r>
          </w:p>
        </w:tc>
      </w:tr>
      <w:tr w14:paraId="7380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046EECC">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1</w:t>
            </w:r>
          </w:p>
        </w:tc>
        <w:tc>
          <w:tcPr>
            <w:tcW w:w="4010" w:type="dxa"/>
          </w:tcPr>
          <w:p w14:paraId="3AC70661">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★（一）签订合同日期：自中标(成交)通知书发出之日起30日内。</w:t>
            </w:r>
          </w:p>
          <w:p w14:paraId="36D82C19">
            <w:pPr>
              <w:pStyle w:val="41"/>
              <w:numPr>
                <w:ilvl w:val="255"/>
                <w:numId w:val="0"/>
              </w:numPr>
              <w:spacing w:line="360" w:lineRule="auto"/>
              <w:ind w:left="0" w:leftChars="0" w:firstLine="0" w:firstLineChars="0"/>
              <w:jc w:val="left"/>
              <w:rPr>
                <w:rFonts w:ascii="宋体" w:hAnsi="宋体"/>
                <w:bCs/>
                <w:szCs w:val="21"/>
              </w:rPr>
            </w:pPr>
          </w:p>
        </w:tc>
        <w:tc>
          <w:tcPr>
            <w:tcW w:w="2175" w:type="dxa"/>
          </w:tcPr>
          <w:p w14:paraId="7187C8F7">
            <w:pPr>
              <w:spacing w:line="360" w:lineRule="auto"/>
              <w:rPr>
                <w:rFonts w:ascii="宋体" w:hAnsi="宋体" w:cs="宋体"/>
                <w:szCs w:val="21"/>
              </w:rPr>
            </w:pPr>
          </w:p>
        </w:tc>
        <w:tc>
          <w:tcPr>
            <w:tcW w:w="1470" w:type="dxa"/>
          </w:tcPr>
          <w:p w14:paraId="57FAAADD">
            <w:pPr>
              <w:spacing w:line="360" w:lineRule="auto"/>
              <w:rPr>
                <w:rFonts w:ascii="宋体" w:hAnsi="宋体" w:cs="宋体"/>
                <w:szCs w:val="21"/>
              </w:rPr>
            </w:pPr>
          </w:p>
        </w:tc>
        <w:tc>
          <w:tcPr>
            <w:tcW w:w="2001" w:type="dxa"/>
          </w:tcPr>
          <w:p w14:paraId="18E2081C">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7432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082E3D08">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2</w:t>
            </w:r>
          </w:p>
        </w:tc>
        <w:tc>
          <w:tcPr>
            <w:tcW w:w="4010" w:type="dxa"/>
          </w:tcPr>
          <w:p w14:paraId="704EDAE3">
            <w:pPr>
              <w:pStyle w:val="41"/>
              <w:numPr>
                <w:ilvl w:val="255"/>
                <w:numId w:val="0"/>
              </w:numPr>
              <w:spacing w:line="360" w:lineRule="auto"/>
              <w:ind w:left="0" w:leftChars="0" w:firstLine="0" w:firstLineChars="0"/>
              <w:jc w:val="left"/>
              <w:rPr>
                <w:rFonts w:ascii="宋体" w:hAnsi="宋体" w:cs="宋体"/>
                <w:b/>
                <w:szCs w:val="21"/>
              </w:rPr>
            </w:pPr>
            <w:r>
              <w:rPr>
                <w:rFonts w:hint="eastAsia" w:ascii="宋体" w:hAnsi="宋体" w:cs="宋体"/>
              </w:rPr>
              <w:t>★（二）合同履行期限（交货期限）：在合同生效之日起50个日历日内将上述货物全部调试完毕并交付使用。</w:t>
            </w:r>
          </w:p>
        </w:tc>
        <w:tc>
          <w:tcPr>
            <w:tcW w:w="2175" w:type="dxa"/>
          </w:tcPr>
          <w:p w14:paraId="011948E6">
            <w:pPr>
              <w:spacing w:line="360" w:lineRule="auto"/>
              <w:rPr>
                <w:rFonts w:ascii="宋体" w:hAnsi="宋体" w:cs="宋体"/>
                <w:szCs w:val="21"/>
              </w:rPr>
            </w:pPr>
          </w:p>
        </w:tc>
        <w:tc>
          <w:tcPr>
            <w:tcW w:w="1470" w:type="dxa"/>
          </w:tcPr>
          <w:p w14:paraId="7E021F1E">
            <w:pPr>
              <w:spacing w:line="360" w:lineRule="auto"/>
              <w:rPr>
                <w:rFonts w:ascii="宋体" w:hAnsi="宋体" w:cs="宋体"/>
                <w:szCs w:val="21"/>
              </w:rPr>
            </w:pPr>
          </w:p>
        </w:tc>
        <w:tc>
          <w:tcPr>
            <w:tcW w:w="2001" w:type="dxa"/>
          </w:tcPr>
          <w:p w14:paraId="56B7B41D">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5DEE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386EB8D4">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3</w:t>
            </w:r>
          </w:p>
        </w:tc>
        <w:tc>
          <w:tcPr>
            <w:tcW w:w="4010" w:type="dxa"/>
          </w:tcPr>
          <w:p w14:paraId="2DF8E7B0">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★（三）交货地点：深圳市福田区福田南路22号皇岗海关。</w:t>
            </w:r>
          </w:p>
          <w:p w14:paraId="78B680CE">
            <w:pPr>
              <w:pStyle w:val="41"/>
              <w:numPr>
                <w:ilvl w:val="255"/>
                <w:numId w:val="0"/>
              </w:numPr>
              <w:spacing w:line="360" w:lineRule="auto"/>
              <w:ind w:left="0" w:leftChars="0" w:firstLine="0" w:firstLineChars="0"/>
              <w:jc w:val="left"/>
              <w:rPr>
                <w:rFonts w:ascii="宋体" w:hAnsi="宋体"/>
                <w:bCs/>
                <w:szCs w:val="21"/>
              </w:rPr>
            </w:pPr>
          </w:p>
        </w:tc>
        <w:tc>
          <w:tcPr>
            <w:tcW w:w="2175" w:type="dxa"/>
          </w:tcPr>
          <w:p w14:paraId="46A1AC26">
            <w:pPr>
              <w:spacing w:line="360" w:lineRule="auto"/>
              <w:rPr>
                <w:rFonts w:ascii="宋体" w:hAnsi="宋体" w:cs="宋体"/>
                <w:szCs w:val="21"/>
              </w:rPr>
            </w:pPr>
          </w:p>
        </w:tc>
        <w:tc>
          <w:tcPr>
            <w:tcW w:w="1470" w:type="dxa"/>
          </w:tcPr>
          <w:p w14:paraId="2B1038F5">
            <w:pPr>
              <w:spacing w:line="360" w:lineRule="auto"/>
              <w:rPr>
                <w:rFonts w:ascii="宋体" w:hAnsi="宋体" w:cs="宋体"/>
                <w:szCs w:val="21"/>
              </w:rPr>
            </w:pPr>
          </w:p>
        </w:tc>
        <w:tc>
          <w:tcPr>
            <w:tcW w:w="2001" w:type="dxa"/>
          </w:tcPr>
          <w:p w14:paraId="5029C0A8">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065F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FAA4C81">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4</w:t>
            </w:r>
          </w:p>
        </w:tc>
        <w:tc>
          <w:tcPr>
            <w:tcW w:w="4010" w:type="dxa"/>
          </w:tcPr>
          <w:p w14:paraId="32D51AC8">
            <w:pPr>
              <w:pStyle w:val="41"/>
              <w:numPr>
                <w:ilvl w:val="255"/>
                <w:numId w:val="0"/>
              </w:numPr>
              <w:spacing w:line="360" w:lineRule="auto"/>
              <w:ind w:left="0" w:leftChars="0" w:firstLine="0" w:firstLineChars="0"/>
              <w:jc w:val="left"/>
              <w:rPr>
                <w:rFonts w:ascii="宋体" w:hAnsi="宋体" w:cs="宋体"/>
                <w:b/>
                <w:szCs w:val="21"/>
              </w:rPr>
            </w:pPr>
            <w:r>
              <w:rPr>
                <w:rFonts w:hint="eastAsia" w:ascii="宋体" w:hAnsi="宋体" w:cs="宋体"/>
              </w:rPr>
              <w:t>★（四）质保期：5年（自交货并验收合格之日起计，不额外收费），质量保证期内提供24小时运维服务保障。</w:t>
            </w:r>
          </w:p>
        </w:tc>
        <w:tc>
          <w:tcPr>
            <w:tcW w:w="2175" w:type="dxa"/>
          </w:tcPr>
          <w:p w14:paraId="38435317">
            <w:pPr>
              <w:spacing w:line="360" w:lineRule="auto"/>
              <w:rPr>
                <w:rFonts w:ascii="宋体" w:hAnsi="宋体" w:cs="宋体"/>
                <w:szCs w:val="21"/>
              </w:rPr>
            </w:pPr>
          </w:p>
        </w:tc>
        <w:tc>
          <w:tcPr>
            <w:tcW w:w="1470" w:type="dxa"/>
          </w:tcPr>
          <w:p w14:paraId="7FD61041">
            <w:pPr>
              <w:spacing w:line="360" w:lineRule="auto"/>
              <w:rPr>
                <w:rFonts w:ascii="宋体" w:hAnsi="宋体" w:cs="宋体"/>
                <w:szCs w:val="21"/>
              </w:rPr>
            </w:pPr>
          </w:p>
        </w:tc>
        <w:tc>
          <w:tcPr>
            <w:tcW w:w="2001" w:type="dxa"/>
          </w:tcPr>
          <w:p w14:paraId="37D4231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11C3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0070A58">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5</w:t>
            </w:r>
          </w:p>
        </w:tc>
        <w:tc>
          <w:tcPr>
            <w:tcW w:w="4010" w:type="dxa"/>
          </w:tcPr>
          <w:p w14:paraId="5A6142F4">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（五）售后服务要求：</w:t>
            </w:r>
          </w:p>
          <w:p w14:paraId="3CC85E0E">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1.中标方应联合产品制造商提供投标产品的所有软件版本升级和技术支持服务，主动配合海关对设备的管理，提升客户使用体验。相关费用包含在投标总价中，不额外收费。</w:t>
            </w:r>
          </w:p>
          <w:p w14:paraId="0D947758">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2.中标方及产品制造商有责任提供以下形式的技术服务：</w:t>
            </w:r>
          </w:p>
          <w:p w14:paraId="3758B19C">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①电话咨询：提供咨询电话技术支持服务，解答用户在使用中遇到的问题，及时提出解决问题的建议和操作方法。</w:t>
            </w:r>
          </w:p>
          <w:p w14:paraId="7D92CA87">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②现场响应：具有7*24小时值班售后，自收到用户的服务请求起8小时内，如中标方或产品制造商技术支持人员不能解决故障，中标方或产品制造商应指派技术人员赶赴现场进行故障处理。质保期内凡因产品质量问题引起的不能正常使用的，一般情况不超过24小时排除故障，如需到现场维修时不超过72小时。</w:t>
            </w:r>
          </w:p>
          <w:p w14:paraId="176DD6A0">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③相关费用包含在投标总价中，不额外收费。</w:t>
            </w:r>
          </w:p>
          <w:p w14:paraId="73438428">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3.对设备进行维修时，中标方应当对其中存储的信息有保密义务，且应提供本项目包含的所有存储介质不返还及硬盘免回收服务。</w:t>
            </w:r>
          </w:p>
        </w:tc>
        <w:tc>
          <w:tcPr>
            <w:tcW w:w="2175" w:type="dxa"/>
          </w:tcPr>
          <w:p w14:paraId="6EFABD86">
            <w:pPr>
              <w:spacing w:line="360" w:lineRule="auto"/>
              <w:rPr>
                <w:rFonts w:ascii="宋体" w:hAnsi="宋体" w:cs="宋体"/>
                <w:szCs w:val="21"/>
              </w:rPr>
            </w:pPr>
          </w:p>
        </w:tc>
        <w:tc>
          <w:tcPr>
            <w:tcW w:w="1470" w:type="dxa"/>
          </w:tcPr>
          <w:p w14:paraId="7BFDB48A">
            <w:pPr>
              <w:spacing w:line="360" w:lineRule="auto"/>
              <w:rPr>
                <w:rFonts w:ascii="宋体" w:hAnsi="宋体" w:cs="宋体"/>
                <w:szCs w:val="21"/>
              </w:rPr>
            </w:pPr>
          </w:p>
        </w:tc>
        <w:tc>
          <w:tcPr>
            <w:tcW w:w="2001" w:type="dxa"/>
          </w:tcPr>
          <w:p w14:paraId="0566599A">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519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47D74BFF">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6</w:t>
            </w:r>
          </w:p>
        </w:tc>
        <w:tc>
          <w:tcPr>
            <w:tcW w:w="4010" w:type="dxa"/>
          </w:tcPr>
          <w:p w14:paraId="106FACAB">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★（六）付款要求</w:t>
            </w:r>
          </w:p>
          <w:p w14:paraId="2F4717AD">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1.设备全部到货、调试，并经采购人（用户）全部验收合格后，中标人向采购人提交下列单据之日起10个工作日内，采购人支付合同总价款的100%。</w:t>
            </w:r>
          </w:p>
          <w:p w14:paraId="0442423B">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2.中标人提交单据：合同（正文部分复印件）、中标通知书（或成交通知书复印件）、发票（原件）、验收表（复印件）。</w:t>
            </w:r>
          </w:p>
          <w:p w14:paraId="4290E24B">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3.因财政集中支付延误时间不计算在内。中标人提交付款单据延迟、缺失及账户信息错误的，采购人有权相应顺延付款期限，且采购人不承担延误付款责任。</w:t>
            </w:r>
          </w:p>
        </w:tc>
        <w:tc>
          <w:tcPr>
            <w:tcW w:w="2175" w:type="dxa"/>
          </w:tcPr>
          <w:p w14:paraId="40A723CA">
            <w:pPr>
              <w:spacing w:line="360" w:lineRule="auto"/>
              <w:rPr>
                <w:rFonts w:ascii="宋体" w:hAnsi="宋体" w:cs="宋体"/>
                <w:szCs w:val="21"/>
              </w:rPr>
            </w:pPr>
          </w:p>
        </w:tc>
        <w:tc>
          <w:tcPr>
            <w:tcW w:w="1470" w:type="dxa"/>
          </w:tcPr>
          <w:p w14:paraId="1A5829D9">
            <w:pPr>
              <w:spacing w:line="360" w:lineRule="auto"/>
              <w:rPr>
                <w:rFonts w:ascii="宋体" w:hAnsi="宋体" w:cs="宋体"/>
                <w:szCs w:val="21"/>
              </w:rPr>
            </w:pPr>
          </w:p>
        </w:tc>
        <w:tc>
          <w:tcPr>
            <w:tcW w:w="2001" w:type="dxa"/>
          </w:tcPr>
          <w:p w14:paraId="4126AA77">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A4B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BEA9C28">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7</w:t>
            </w:r>
          </w:p>
        </w:tc>
        <w:tc>
          <w:tcPr>
            <w:tcW w:w="4010" w:type="dxa"/>
          </w:tcPr>
          <w:p w14:paraId="00269C83">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★（七）报价要求</w:t>
            </w:r>
          </w:p>
          <w:p w14:paraId="0266A626">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1.本次项目的控制金额为人民币41.</w:t>
            </w:r>
            <w:r>
              <w:rPr>
                <w:rFonts w:hint="eastAsia" w:ascii="宋体" w:hAnsi="宋体" w:cs="宋体"/>
                <w:lang w:val="en-US" w:eastAsia="zh-CN"/>
              </w:rPr>
              <w:t>4</w:t>
            </w:r>
            <w:r>
              <w:rPr>
                <w:rFonts w:hint="eastAsia" w:ascii="宋体" w:hAnsi="宋体" w:cs="宋体"/>
              </w:rPr>
              <w:t>8万元整，报价不可高于控制金额或单价限价，否则参加单位的投标文件视同无效。</w:t>
            </w:r>
          </w:p>
          <w:p w14:paraId="2AD5DB6B">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2.本项目报价费用采用包干制，报价包含但不限于设备采购、包装、运输、保险、调试、培训等风险（包括损坏、灭失等）一切费用。如出现任何遗漏内容需产生额外费用，均由中标单位自行承担，采购单位将不再另支付任何费用。一经中标，投标报价总价作为中标单位与采购单位签订的合同金额，合同期限内不做调整。</w:t>
            </w:r>
          </w:p>
        </w:tc>
        <w:tc>
          <w:tcPr>
            <w:tcW w:w="2175" w:type="dxa"/>
          </w:tcPr>
          <w:p w14:paraId="53E029DF">
            <w:pPr>
              <w:spacing w:line="360" w:lineRule="auto"/>
              <w:rPr>
                <w:rFonts w:ascii="宋体" w:hAnsi="宋体" w:cs="宋体"/>
                <w:szCs w:val="21"/>
              </w:rPr>
            </w:pPr>
          </w:p>
        </w:tc>
        <w:tc>
          <w:tcPr>
            <w:tcW w:w="1470" w:type="dxa"/>
          </w:tcPr>
          <w:p w14:paraId="0B4F90DF">
            <w:pPr>
              <w:spacing w:line="360" w:lineRule="auto"/>
              <w:rPr>
                <w:rFonts w:ascii="宋体" w:hAnsi="宋体" w:cs="宋体"/>
                <w:szCs w:val="21"/>
              </w:rPr>
            </w:pPr>
          </w:p>
        </w:tc>
        <w:tc>
          <w:tcPr>
            <w:tcW w:w="2001" w:type="dxa"/>
          </w:tcPr>
          <w:p w14:paraId="3485B28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FB3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33C1121F">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8</w:t>
            </w:r>
          </w:p>
        </w:tc>
        <w:tc>
          <w:tcPr>
            <w:tcW w:w="4010" w:type="dxa"/>
          </w:tcPr>
          <w:p w14:paraId="60FB3598">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八）培训要求：设备在调试同时，中标方负责派工程师对采购方就设备原理和基本操作进行现场培训，中标方派遣的培训工程师不少于2人，培训时间视采购方需要，确保采购方用户能正常操作，不额外收取费用。</w:t>
            </w:r>
          </w:p>
        </w:tc>
        <w:tc>
          <w:tcPr>
            <w:tcW w:w="2175" w:type="dxa"/>
          </w:tcPr>
          <w:p w14:paraId="313228C9">
            <w:pPr>
              <w:spacing w:line="360" w:lineRule="auto"/>
              <w:rPr>
                <w:rFonts w:ascii="宋体" w:hAnsi="宋体" w:cs="宋体"/>
                <w:szCs w:val="21"/>
              </w:rPr>
            </w:pPr>
          </w:p>
        </w:tc>
        <w:tc>
          <w:tcPr>
            <w:tcW w:w="1470" w:type="dxa"/>
          </w:tcPr>
          <w:p w14:paraId="7A3F4600">
            <w:pPr>
              <w:spacing w:line="360" w:lineRule="auto"/>
              <w:rPr>
                <w:rFonts w:ascii="宋体" w:hAnsi="宋体" w:cs="宋体"/>
                <w:szCs w:val="21"/>
              </w:rPr>
            </w:pPr>
          </w:p>
        </w:tc>
        <w:tc>
          <w:tcPr>
            <w:tcW w:w="2001" w:type="dxa"/>
          </w:tcPr>
          <w:p w14:paraId="40E01802">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0298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40087BDC">
            <w:pPr>
              <w:spacing w:line="360" w:lineRule="auto"/>
              <w:jc w:val="center"/>
              <w:rPr>
                <w:rFonts w:hint="eastAsia" w:ascii="宋体" w:hAnsi="宋体" w:eastAsia="宋体" w:cs="宋体"/>
                <w:bCs/>
                <w:szCs w:val="21"/>
                <w:lang w:val="en-US" w:eastAsia="zh-CN"/>
              </w:rPr>
            </w:pPr>
            <w:r>
              <w:rPr>
                <w:rFonts w:hint="eastAsia" w:ascii="宋体" w:hAnsi="宋体" w:cs="宋体"/>
                <w:bCs/>
                <w:szCs w:val="21"/>
                <w:lang w:val="en-US" w:eastAsia="zh-CN"/>
              </w:rPr>
              <w:t>9</w:t>
            </w:r>
          </w:p>
        </w:tc>
        <w:tc>
          <w:tcPr>
            <w:tcW w:w="4010" w:type="dxa"/>
          </w:tcPr>
          <w:p w14:paraId="2ACC99B1">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（九）包装</w:t>
            </w:r>
          </w:p>
          <w:p w14:paraId="680C2B3F">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1.中标人提供的全部货物均应按标准保护措施进行包装，这类包装应适应于远距离运输、防潮、防震、防锈和防野蛮装卸，以确保货物安全无损运抵指定交货地点。</w:t>
            </w:r>
          </w:p>
          <w:p w14:paraId="76139B8F">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2.中标人应在包装箱外标明产品名称、型号，包装箱内随附一份详细装箱单和质量证书。</w:t>
            </w:r>
          </w:p>
          <w:p w14:paraId="3ED59E8C">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3.中标人应承担由于其包装或防护措施不当而引起的货物损坏和丢失的任何损失责任和费用。</w:t>
            </w:r>
          </w:p>
        </w:tc>
        <w:tc>
          <w:tcPr>
            <w:tcW w:w="2175" w:type="dxa"/>
          </w:tcPr>
          <w:p w14:paraId="3D1711CC">
            <w:pPr>
              <w:spacing w:line="360" w:lineRule="auto"/>
              <w:rPr>
                <w:rFonts w:ascii="宋体" w:hAnsi="宋体" w:cs="宋体"/>
                <w:szCs w:val="21"/>
              </w:rPr>
            </w:pPr>
          </w:p>
        </w:tc>
        <w:tc>
          <w:tcPr>
            <w:tcW w:w="1470" w:type="dxa"/>
          </w:tcPr>
          <w:p w14:paraId="4F10EB06">
            <w:pPr>
              <w:spacing w:line="360" w:lineRule="auto"/>
              <w:rPr>
                <w:rFonts w:ascii="宋体" w:hAnsi="宋体" w:cs="宋体"/>
                <w:szCs w:val="21"/>
              </w:rPr>
            </w:pPr>
          </w:p>
        </w:tc>
        <w:tc>
          <w:tcPr>
            <w:tcW w:w="2001" w:type="dxa"/>
          </w:tcPr>
          <w:p w14:paraId="6E768EF1">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4FB5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37A15119">
            <w:pPr>
              <w:spacing w:line="360" w:lineRule="auto"/>
              <w:jc w:val="center"/>
              <w:rPr>
                <w:rFonts w:hint="default" w:ascii="宋体" w:hAnsi="宋体" w:eastAsia="宋体" w:cs="宋体"/>
                <w:bCs/>
                <w:szCs w:val="21"/>
                <w:lang w:val="en-US" w:eastAsia="zh-CN"/>
              </w:rPr>
            </w:pPr>
            <w:r>
              <w:rPr>
                <w:rFonts w:hint="eastAsia" w:ascii="宋体" w:hAnsi="宋体" w:cs="宋体"/>
                <w:bCs/>
                <w:szCs w:val="21"/>
                <w:lang w:val="en-US" w:eastAsia="zh-CN"/>
              </w:rPr>
              <w:t>10</w:t>
            </w:r>
          </w:p>
        </w:tc>
        <w:tc>
          <w:tcPr>
            <w:tcW w:w="4010" w:type="dxa"/>
          </w:tcPr>
          <w:p w14:paraId="04B010AB">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（十）货物验收</w:t>
            </w:r>
          </w:p>
          <w:p w14:paraId="08F3D63E">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1.货物运至采购人指定地点后，由采购人和中标人双方指派人员按照合同规定对货物进行验收，中标人应提供交货清单等文件供采购人审查，采购人将按合同清单进行规格、数量、外观的检查。</w:t>
            </w:r>
          </w:p>
          <w:p w14:paraId="16CC0234">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2.收货后10个工作日内采购人和中标人双方进行到货验收工作。如验收合格，采购人应及时履行验收手续，双方签署设备到货验收表；如验收不合格，采购人应以书面形式通知中标人原因，中标人收到通知后5个工作日内提供解决方案，并按采购人要求完成整改。</w:t>
            </w:r>
          </w:p>
          <w:p w14:paraId="62C57264">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3.在验收工作中，发现数量不足或有质量、技术等问题，中标人应按照合同要求采取补足、更换或退货等处理措施，并承担由此发生的一切费用和损失。</w:t>
            </w:r>
          </w:p>
          <w:p w14:paraId="060D00F6">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4.中标人负责于到货验收后10个工作日内在采购人配合下完成所供设备调试，有关技术问题由中标人和制造商协同解决。调试后，双方签署设备调试验收报告。</w:t>
            </w:r>
          </w:p>
          <w:p w14:paraId="75898837">
            <w:pPr>
              <w:pStyle w:val="41"/>
              <w:numPr>
                <w:ilvl w:val="255"/>
                <w:numId w:val="0"/>
              </w:numPr>
              <w:spacing w:line="360" w:lineRule="auto"/>
              <w:ind w:left="0" w:leftChars="0" w:firstLine="0" w:firstLineChars="0"/>
              <w:jc w:val="left"/>
              <w:rPr>
                <w:rFonts w:ascii="宋体" w:hAnsi="宋体" w:cs="宋体"/>
              </w:rPr>
            </w:pPr>
            <w:r>
              <w:rPr>
                <w:rFonts w:hint="eastAsia" w:ascii="宋体" w:hAnsi="宋体" w:cs="宋体"/>
              </w:rPr>
              <w:t>5.采购人认为必要时，可以邀请国家认可的质量检测机构参加验收工作，相关验收意见作为验收报告的参考资料，相关费用由中标人承担。</w:t>
            </w:r>
          </w:p>
          <w:p w14:paraId="3069599D">
            <w:pPr>
              <w:pStyle w:val="41"/>
              <w:numPr>
                <w:ilvl w:val="255"/>
                <w:numId w:val="0"/>
              </w:numPr>
              <w:spacing w:line="360" w:lineRule="auto"/>
              <w:ind w:left="0" w:leftChars="0" w:firstLine="0" w:firstLineChars="0"/>
              <w:jc w:val="left"/>
              <w:rPr>
                <w:rFonts w:hint="eastAsia" w:ascii="宋体" w:hAnsi="宋体" w:cs="宋体"/>
              </w:rPr>
            </w:pPr>
            <w:r>
              <w:rPr>
                <w:rFonts w:hint="eastAsia" w:ascii="宋体" w:hAnsi="宋体" w:cs="宋体"/>
              </w:rPr>
              <w:t>6.验收标准以双方达成的对质量和技术标准的约定、中标人承诺的质量和技术标准、国家或行业规定的相关质量和技术标准中最高者为准，且应充分满足采购人使用要求。</w:t>
            </w:r>
          </w:p>
        </w:tc>
        <w:tc>
          <w:tcPr>
            <w:tcW w:w="2175" w:type="dxa"/>
          </w:tcPr>
          <w:p w14:paraId="1EC76363">
            <w:pPr>
              <w:spacing w:line="360" w:lineRule="auto"/>
              <w:rPr>
                <w:rFonts w:ascii="宋体" w:hAnsi="宋体" w:cs="宋体"/>
                <w:szCs w:val="21"/>
              </w:rPr>
            </w:pPr>
          </w:p>
        </w:tc>
        <w:tc>
          <w:tcPr>
            <w:tcW w:w="1470" w:type="dxa"/>
          </w:tcPr>
          <w:p w14:paraId="7F950DD2">
            <w:pPr>
              <w:spacing w:line="360" w:lineRule="auto"/>
              <w:rPr>
                <w:rFonts w:ascii="宋体" w:hAnsi="宋体" w:cs="宋体"/>
                <w:szCs w:val="21"/>
              </w:rPr>
            </w:pPr>
          </w:p>
        </w:tc>
        <w:tc>
          <w:tcPr>
            <w:tcW w:w="2001" w:type="dxa"/>
          </w:tcPr>
          <w:p w14:paraId="1BF32D7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14:paraId="496E0480">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48A8ED0C">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14:paraId="4968E0D8">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5E91E13">
      <w:pPr>
        <w:spacing w:line="400" w:lineRule="exact"/>
        <w:ind w:firstLine="420" w:firstLineChars="200"/>
      </w:pPr>
    </w:p>
    <w:p w14:paraId="6FC29CC1">
      <w:pPr>
        <w:adjustRightInd w:val="0"/>
        <w:snapToGrid w:val="0"/>
        <w:spacing w:line="300" w:lineRule="auto"/>
        <w:rPr>
          <w:snapToGrid w:val="0"/>
          <w:kern w:val="0"/>
        </w:rPr>
      </w:pPr>
    </w:p>
    <w:p w14:paraId="6834AC6A">
      <w:pPr>
        <w:adjustRightInd w:val="0"/>
        <w:snapToGrid w:val="0"/>
        <w:spacing w:line="300" w:lineRule="auto"/>
        <w:rPr>
          <w:snapToGrid w:val="0"/>
          <w:kern w:val="0"/>
        </w:rPr>
      </w:pPr>
      <w:r>
        <w:rPr>
          <w:rFonts w:hint="eastAsia"/>
          <w:snapToGrid w:val="0"/>
          <w:kern w:val="0"/>
        </w:rPr>
        <w:t>投标单位：（盖章）</w:t>
      </w:r>
    </w:p>
    <w:p w14:paraId="7059D9E7">
      <w:pPr>
        <w:adjustRightInd w:val="0"/>
        <w:snapToGrid w:val="0"/>
        <w:spacing w:line="300" w:lineRule="auto"/>
        <w:rPr>
          <w:snapToGrid w:val="0"/>
          <w:kern w:val="0"/>
        </w:rPr>
      </w:pPr>
    </w:p>
    <w:p w14:paraId="6C48DE0B">
      <w:pPr>
        <w:adjustRightInd w:val="0"/>
        <w:snapToGrid w:val="0"/>
        <w:spacing w:line="300" w:lineRule="auto"/>
        <w:rPr>
          <w:snapToGrid w:val="0"/>
          <w:kern w:val="0"/>
        </w:rPr>
      </w:pPr>
    </w:p>
    <w:p w14:paraId="0A53BB97">
      <w:pPr>
        <w:adjustRightInd w:val="0"/>
        <w:snapToGrid w:val="0"/>
        <w:spacing w:line="300" w:lineRule="auto"/>
        <w:rPr>
          <w:snapToGrid w:val="0"/>
          <w:kern w:val="0"/>
        </w:rPr>
      </w:pPr>
    </w:p>
    <w:p w14:paraId="723D01D2">
      <w:pPr>
        <w:adjustRightInd w:val="0"/>
        <w:snapToGrid w:val="0"/>
        <w:spacing w:line="300" w:lineRule="auto"/>
        <w:ind w:right="420"/>
        <w:jc w:val="center"/>
      </w:pPr>
      <w:r>
        <w:rPr>
          <w:rFonts w:hint="eastAsia"/>
          <w:snapToGrid w:val="0"/>
          <w:kern w:val="0"/>
        </w:rPr>
        <w:t xml:space="preserve">                                                            年    月    日</w:t>
      </w:r>
    </w:p>
    <w:p w14:paraId="39D90724">
      <w:pPr>
        <w:adjustRightInd w:val="0"/>
        <w:snapToGrid w:val="0"/>
        <w:spacing w:line="300" w:lineRule="auto"/>
        <w:ind w:right="420"/>
        <w:jc w:val="center"/>
      </w:pPr>
    </w:p>
    <w:p w14:paraId="5B6D1489">
      <w:pPr>
        <w:adjustRightInd w:val="0"/>
        <w:snapToGrid w:val="0"/>
        <w:spacing w:line="300" w:lineRule="auto"/>
        <w:ind w:right="420"/>
        <w:jc w:val="center"/>
      </w:pPr>
    </w:p>
    <w:p w14:paraId="7FBEAEFD">
      <w:pPr>
        <w:adjustRightInd w:val="0"/>
        <w:snapToGrid w:val="0"/>
        <w:spacing w:line="300" w:lineRule="auto"/>
        <w:ind w:right="420"/>
        <w:jc w:val="center"/>
      </w:pPr>
    </w:p>
    <w:p w14:paraId="2CF96537">
      <w:pPr>
        <w:adjustRightInd w:val="0"/>
        <w:snapToGrid w:val="0"/>
        <w:spacing w:line="300" w:lineRule="auto"/>
        <w:ind w:right="420"/>
        <w:jc w:val="center"/>
      </w:pPr>
    </w:p>
    <w:p w14:paraId="0A452DAC">
      <w:pPr>
        <w:adjustRightInd w:val="0"/>
        <w:snapToGrid w:val="0"/>
        <w:spacing w:line="300" w:lineRule="auto"/>
        <w:ind w:right="420"/>
        <w:jc w:val="center"/>
      </w:pPr>
    </w:p>
    <w:p w14:paraId="3DE2ED7F">
      <w:pPr>
        <w:adjustRightInd w:val="0"/>
        <w:snapToGrid w:val="0"/>
        <w:spacing w:line="300" w:lineRule="auto"/>
        <w:ind w:right="420"/>
        <w:jc w:val="center"/>
      </w:pPr>
    </w:p>
    <w:p w14:paraId="0ACA4F0C">
      <w:pPr>
        <w:adjustRightInd w:val="0"/>
        <w:snapToGrid w:val="0"/>
        <w:spacing w:line="300" w:lineRule="auto"/>
        <w:ind w:right="420"/>
        <w:jc w:val="center"/>
      </w:pPr>
    </w:p>
    <w:p w14:paraId="2D4FDC3E">
      <w:pPr>
        <w:adjustRightInd w:val="0"/>
        <w:snapToGrid w:val="0"/>
        <w:spacing w:line="300" w:lineRule="auto"/>
        <w:ind w:right="420"/>
        <w:jc w:val="center"/>
      </w:pPr>
    </w:p>
    <w:p w14:paraId="1BE3B736">
      <w:pPr>
        <w:adjustRightInd w:val="0"/>
        <w:snapToGrid w:val="0"/>
        <w:spacing w:line="300" w:lineRule="auto"/>
        <w:ind w:right="420"/>
        <w:jc w:val="center"/>
      </w:pPr>
    </w:p>
    <w:p w14:paraId="44A2B779">
      <w:pPr>
        <w:adjustRightInd w:val="0"/>
        <w:snapToGrid w:val="0"/>
        <w:spacing w:line="300" w:lineRule="auto"/>
        <w:ind w:right="420"/>
        <w:jc w:val="center"/>
      </w:pPr>
    </w:p>
    <w:p w14:paraId="62A2A4A0">
      <w:pPr>
        <w:adjustRightInd w:val="0"/>
        <w:snapToGrid w:val="0"/>
        <w:spacing w:line="300" w:lineRule="auto"/>
        <w:ind w:right="420"/>
        <w:jc w:val="center"/>
      </w:pPr>
    </w:p>
    <w:p w14:paraId="37030869">
      <w:pPr>
        <w:adjustRightInd w:val="0"/>
        <w:snapToGrid w:val="0"/>
        <w:spacing w:line="300" w:lineRule="auto"/>
        <w:ind w:right="420"/>
        <w:jc w:val="center"/>
      </w:pPr>
    </w:p>
    <w:p w14:paraId="365B24A0">
      <w:pPr>
        <w:adjustRightInd w:val="0"/>
        <w:snapToGrid w:val="0"/>
        <w:spacing w:line="300" w:lineRule="auto"/>
        <w:ind w:right="420"/>
        <w:jc w:val="center"/>
      </w:pPr>
    </w:p>
    <w:p w14:paraId="13A1E6AB">
      <w:pPr>
        <w:pStyle w:val="3"/>
        <w:tabs>
          <w:tab w:val="left" w:pos="371"/>
        </w:tabs>
        <w:spacing w:before="120" w:after="120"/>
        <w:ind w:left="-1" w:leftChars="-1" w:hanging="1"/>
        <w:jc w:val="center"/>
        <w:rPr>
          <w:rFonts w:asciiTheme="minorEastAsia" w:hAnsiTheme="minorEastAsia" w:eastAsiaTheme="minorEastAsia"/>
        </w:rPr>
      </w:pPr>
      <w:bookmarkStart w:id="99" w:name="_Toc135293354"/>
    </w:p>
    <w:p w14:paraId="69FAA442">
      <w:pPr>
        <w:rPr>
          <w:rFonts w:asciiTheme="minorEastAsia" w:hAnsiTheme="minorEastAsia" w:eastAsiaTheme="minorEastAsia"/>
        </w:rPr>
      </w:pPr>
      <w:r>
        <w:rPr>
          <w:rFonts w:hint="eastAsia" w:asciiTheme="minorEastAsia" w:hAnsiTheme="minorEastAsia" w:eastAsiaTheme="minorEastAsia"/>
        </w:rPr>
        <w:br w:type="page"/>
      </w:r>
    </w:p>
    <w:p w14:paraId="0CF5613F">
      <w:pPr>
        <w:pStyle w:val="3"/>
        <w:tabs>
          <w:tab w:val="left" w:pos="371"/>
        </w:tabs>
        <w:spacing w:before="120" w:after="120"/>
        <w:jc w:val="center"/>
        <w:rPr>
          <w:rFonts w:asciiTheme="minorEastAsia" w:hAnsiTheme="minorEastAsia" w:eastAsiaTheme="minorEastAsia"/>
        </w:rPr>
      </w:pPr>
      <w:bookmarkStart w:id="100" w:name="_Toc31762"/>
      <w:r>
        <w:rPr>
          <w:rFonts w:hint="eastAsia" w:asciiTheme="minorEastAsia" w:hAnsiTheme="minorEastAsia" w:eastAsiaTheme="minorEastAsia"/>
        </w:rPr>
        <w:t>格式12  招标文件要求的其他资料或投标人认为需要补充的资料</w:t>
      </w:r>
      <w:bookmarkEnd w:id="99"/>
      <w:bookmarkEnd w:id="100"/>
    </w:p>
    <w:p w14:paraId="381BA7F6">
      <w:pPr>
        <w:jc w:val="center"/>
        <w:rPr>
          <w:rFonts w:eastAsiaTheme="minorEastAsia"/>
        </w:rPr>
      </w:pPr>
      <w:r>
        <w:rPr>
          <w:rFonts w:hint="eastAsia" w:asciiTheme="minorEastAsia" w:hAnsiTheme="minorEastAsia" w:eastAsiaTheme="minorEastAsia"/>
        </w:rPr>
        <w:t>（如有，格式自定）</w:t>
      </w:r>
    </w:p>
    <w:p w14:paraId="5422532C">
      <w:pPr>
        <w:pStyle w:val="2"/>
      </w:pPr>
    </w:p>
    <w:p w14:paraId="1A57A139"/>
    <w:p w14:paraId="239D8121"/>
    <w:p w14:paraId="4BCB07D5"/>
    <w:p w14:paraId="3BB193DD"/>
    <w:p w14:paraId="3EF71E9A"/>
    <w:p w14:paraId="0ABAC76B">
      <w:r>
        <w:br w:type="page"/>
      </w:r>
    </w:p>
    <w:p w14:paraId="411CF7E3">
      <w:pPr>
        <w:spacing w:line="240" w:lineRule="exact"/>
      </w:pPr>
    </w:p>
    <w:p w14:paraId="7E9B6962">
      <w:pPr>
        <w:pStyle w:val="2"/>
      </w:pPr>
      <w:bookmarkStart w:id="101" w:name="_Toc16933"/>
      <w:r>
        <w:rPr>
          <w:rFonts w:hint="eastAsia"/>
        </w:rPr>
        <w:t>招标文件第二册（通用部分）</w:t>
      </w:r>
      <w:bookmarkEnd w:id="101"/>
    </w:p>
    <w:p w14:paraId="360E9E0E">
      <w:pPr>
        <w:pStyle w:val="4"/>
        <w:rPr>
          <w:b/>
          <w:bCs/>
        </w:rPr>
      </w:pPr>
      <w:bookmarkStart w:id="102" w:name="_Toc6163"/>
      <w:bookmarkStart w:id="103" w:name="_Toc24163"/>
      <w:r>
        <w:rPr>
          <w:rFonts w:hint="eastAsia"/>
          <w:b/>
          <w:bCs/>
        </w:rPr>
        <w:t>一、说</w:t>
      </w:r>
      <w:r>
        <w:rPr>
          <w:b/>
          <w:bCs/>
        </w:rPr>
        <w:t xml:space="preserve">  </w:t>
      </w:r>
      <w:r>
        <w:rPr>
          <w:rFonts w:hint="eastAsia"/>
          <w:b/>
          <w:bCs/>
        </w:rPr>
        <w:t>明</w:t>
      </w:r>
      <w:bookmarkEnd w:id="102"/>
      <w:bookmarkEnd w:id="103"/>
    </w:p>
    <w:p w14:paraId="1BF3F5A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7837D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本招标文件仅适用于投标资料表第1项所叙述项目的货物、工程及服务采购。</w:t>
      </w:r>
    </w:p>
    <w:p w14:paraId="229AD24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w:t>
      </w:r>
      <w:r>
        <w:rPr>
          <w:rFonts w:hint="eastAsia"/>
          <w:snapToGrid w:val="0"/>
          <w:kern w:val="0"/>
        </w:rPr>
        <w:t>按照《中华人民共和国政府采购法》《中华人民共和国政府采购条例实施细则》及有关招投标法规、规章、规定通过招标来择优选定投标人</w:t>
      </w:r>
      <w:r>
        <w:rPr>
          <w:rFonts w:hint="eastAsia" w:asciiTheme="minorEastAsia" w:hAnsiTheme="minorEastAsia" w:eastAsiaTheme="minorEastAsia"/>
          <w:snapToGrid w:val="0"/>
          <w:kern w:val="0"/>
        </w:rPr>
        <w:t>。</w:t>
      </w:r>
    </w:p>
    <w:p w14:paraId="5DE9FC3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197980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”是指投标资料表第2项所述。</w:t>
      </w:r>
    </w:p>
    <w:p w14:paraId="3ED4DD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”是指投标资料表第3项所述。</w:t>
      </w:r>
    </w:p>
    <w:p w14:paraId="7C94838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4B8982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7BAD72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13326D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4EBEBD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50334FE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采购资金通过投标资料表第4 项的方式获得，并用于采购合同下的合格支付。</w:t>
      </w:r>
    </w:p>
    <w:p w14:paraId="5AEF4F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27F20C2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9454BD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5AAB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6B9DE2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0ACB2F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ED16F7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FC48F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符合投标资料表第5项规定的条件。</w:t>
      </w:r>
    </w:p>
    <w:p w14:paraId="3E48E92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037CE38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以下有关联合体投标的条款仅适用于允许投标人组成联合体投标的项目。是否允许联合体投标以《投标资料表》中第6项的规定或说明为准。</w:t>
      </w:r>
    </w:p>
    <w:p w14:paraId="396E56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74DD6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2DC107D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37FCC6E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3F8241B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4B25ABD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12AE70C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2643CA9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38704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4835097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31FCD1D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7D67B0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2D69141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5A658B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7839CC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4AF18C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01747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（10）本次招标中“投标人”一词亦指联合体各方，《投标资料表》另有规定或说明的除外。</w:t>
      </w:r>
    </w:p>
    <w:p w14:paraId="6D6BC4E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1590B8B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631FD42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797E4FA1">
      <w:pPr>
        <w:spacing w:line="360" w:lineRule="auto"/>
        <w:rPr>
          <w:rFonts w:asciiTheme="minorEastAsia" w:hAnsiTheme="minorEastAsia" w:eastAsiaTheme="minorEastAsia"/>
        </w:rPr>
      </w:pPr>
      <w:r>
        <w:rPr>
          <w:rFonts w:hint="eastAsia" w:asciiTheme="minorEastAsia" w:hAnsiTheme="minorEastAsia" w:eastAsiaTheme="minorEastAsia"/>
        </w:rPr>
        <w:t>6.1  本项目按投标资料表第7项的规定安排现场踏勘，以便投标人获取须自己负责的有关编制投标文件和签署合同所需的所有资料。踏勘现场所发生的费用由投标人自己承担。</w:t>
      </w:r>
    </w:p>
    <w:p w14:paraId="7411B181">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11B9FA46">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及其人员承担有关的责任和蒙受损失。投标人并应对由此次踏勘现场造成的死亡、人身伤害、财产损失、损害以及任何其它损失、损害和引起的费用和开支承担责任。</w:t>
      </w:r>
    </w:p>
    <w:p w14:paraId="204BD93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E23CAC9">
      <w:pPr>
        <w:adjustRightInd w:val="0"/>
        <w:spacing w:line="360" w:lineRule="auto"/>
        <w:jc w:val="center"/>
        <w:rPr>
          <w:rFonts w:asciiTheme="minorEastAsia" w:hAnsiTheme="minorEastAsia" w:eastAsiaTheme="minorEastAsia"/>
          <w:b/>
          <w:snapToGrid w:val="0"/>
          <w:kern w:val="0"/>
        </w:rPr>
      </w:pPr>
      <w:bookmarkStart w:id="104" w:name="q5"/>
      <w:bookmarkEnd w:id="104"/>
    </w:p>
    <w:p w14:paraId="00A319E4">
      <w:pPr>
        <w:pStyle w:val="4"/>
        <w:rPr>
          <w:b/>
          <w:bCs/>
        </w:rPr>
      </w:pPr>
      <w:bookmarkStart w:id="105" w:name="_Toc6814"/>
      <w:bookmarkStart w:id="106" w:name="_Toc15811"/>
      <w:r>
        <w:rPr>
          <w:rFonts w:hint="eastAsia"/>
          <w:b/>
          <w:bCs/>
        </w:rPr>
        <w:t>二、招标文件说明</w:t>
      </w:r>
      <w:bookmarkEnd w:id="105"/>
      <w:bookmarkEnd w:id="106"/>
    </w:p>
    <w:p w14:paraId="02E49D5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32A17E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7EEA5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招标文件第一册（专用部分）</w:t>
      </w:r>
    </w:p>
    <w:p w14:paraId="4384D6A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20AB236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3451B98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投标审查和评标方法；</w:t>
      </w:r>
    </w:p>
    <w:p w14:paraId="6DA292D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合同文本；</w:t>
      </w:r>
    </w:p>
    <w:p w14:paraId="7FBC8DD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投标资料表；</w:t>
      </w:r>
    </w:p>
    <w:p w14:paraId="14A4EA8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投标文件格式。</w:t>
      </w:r>
    </w:p>
    <w:p w14:paraId="7FD65A9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招标文件第二册（通用部分）</w:t>
      </w:r>
    </w:p>
    <w:p w14:paraId="440320A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5B86E0F">
      <w:pPr>
        <w:adjustRightInd w:val="0"/>
        <w:spacing w:line="360" w:lineRule="auto"/>
        <w:rPr>
          <w:snapToGrid w:val="0"/>
          <w:kern w:val="0"/>
        </w:rPr>
      </w:pPr>
      <w:r>
        <w:rPr>
          <w:rFonts w:hint="eastAsia"/>
          <w:snapToGrid w:val="0"/>
          <w:kern w:val="0"/>
        </w:rPr>
        <w:t>8</w:t>
      </w:r>
      <w:r>
        <w:rPr>
          <w:snapToGrid w:val="0"/>
          <w:kern w:val="0"/>
        </w:rPr>
        <w:t>.1</w:t>
      </w:r>
      <w:r>
        <w:rPr>
          <w:rFonts w:hint="eastAsia"/>
          <w:snapToGrid w:val="0"/>
          <w:kern w:val="0"/>
        </w:rPr>
        <w:t xml:space="preserve"> </w:t>
      </w:r>
      <w:r>
        <w:rPr>
          <w:snapToGrid w:val="0"/>
          <w:kern w:val="0"/>
        </w:rPr>
        <w:t xml:space="preserve"> </w:t>
      </w:r>
      <w:r>
        <w:rPr>
          <w:rFonts w:hint="eastAsia"/>
          <w:snapToGrid w:val="0"/>
          <w:kern w:val="0"/>
        </w:rPr>
        <w:t>投标人对招标文件如有疑点，可要求澄清，应在投标截止日10日前按投标邀请中载明的地址以书面形式（包括信函、传真，下同）通知到</w:t>
      </w:r>
      <w:r>
        <w:rPr>
          <w:rFonts w:hint="eastAsia" w:ascii="宋体" w:hAnsi="宋体" w:cs="宋体"/>
          <w:bCs/>
          <w:snapToGrid w:val="0"/>
          <w:kern w:val="0"/>
        </w:rPr>
        <w:t>采购代理机构</w:t>
      </w:r>
      <w:r>
        <w:rPr>
          <w:rFonts w:hint="eastAsia"/>
          <w:snapToGrid w:val="0"/>
          <w:kern w:val="0"/>
        </w:rPr>
        <w:t>。</w:t>
      </w:r>
      <w:r>
        <w:rPr>
          <w:rFonts w:hint="eastAsia" w:ascii="宋体" w:hAnsi="宋体" w:cs="宋体"/>
          <w:bCs/>
          <w:snapToGrid w:val="0"/>
          <w:kern w:val="0"/>
        </w:rPr>
        <w:t>采购代理机构</w:t>
      </w:r>
      <w:r>
        <w:rPr>
          <w:rFonts w:hint="eastAsia"/>
          <w:snapToGrid w:val="0"/>
          <w:kern w:val="0"/>
        </w:rPr>
        <w:t>将视情况确定采用适当方式予以澄清或以书面形式予以答复，并在其认为必要时，将不标明查询来源的书面答复发给已购买招标文件的每一投标人。</w:t>
      </w:r>
    </w:p>
    <w:p w14:paraId="6989D263">
      <w:pPr>
        <w:adjustRightInd w:val="0"/>
        <w:spacing w:line="360" w:lineRule="auto"/>
        <w:rPr>
          <w:snapToGrid w:val="0"/>
          <w:kern w:val="0"/>
        </w:rPr>
      </w:pPr>
      <w:r>
        <w:rPr>
          <w:rFonts w:hint="eastAsia"/>
          <w:snapToGrid w:val="0"/>
          <w:kern w:val="0"/>
        </w:rPr>
        <w:t>8</w:t>
      </w:r>
      <w:r>
        <w:rPr>
          <w:snapToGrid w:val="0"/>
          <w:kern w:val="0"/>
        </w:rPr>
        <w:t>.2</w:t>
      </w:r>
      <w:r>
        <w:rPr>
          <w:rFonts w:hint="eastAsia"/>
          <w:snapToGrid w:val="0"/>
          <w:kern w:val="0"/>
        </w:rPr>
        <w:t xml:space="preserve">  采购人或采购代理机构对已发出的招标文件进行必要澄清或者修改的，应当在投标资料表规定的提交投标文件截止时间</w:t>
      </w:r>
      <w:r>
        <w:rPr>
          <w:snapToGrid w:val="0"/>
          <w:kern w:val="0"/>
        </w:rPr>
        <w:t>15</w:t>
      </w:r>
      <w:r>
        <w:rPr>
          <w:rFonts w:hint="eastAsia"/>
          <w:snapToGrid w:val="0"/>
          <w:kern w:val="0"/>
        </w:rPr>
        <w:t>日前，在原刊登招标公告的媒体上发布更正公告，并以书面形式通知所有招标文件收受人。</w:t>
      </w:r>
    </w:p>
    <w:p w14:paraId="4C6EEE44">
      <w:pPr>
        <w:adjustRightInd w:val="0"/>
        <w:spacing w:line="360" w:lineRule="auto"/>
        <w:rPr>
          <w:snapToGrid w:val="0"/>
          <w:kern w:val="0"/>
        </w:rPr>
      </w:pPr>
      <w:r>
        <w:rPr>
          <w:rFonts w:hint="eastAsia"/>
          <w:snapToGrid w:val="0"/>
          <w:kern w:val="0"/>
        </w:rPr>
        <w:t>8</w:t>
      </w:r>
      <w:r>
        <w:rPr>
          <w:snapToGrid w:val="0"/>
          <w:kern w:val="0"/>
        </w:rPr>
        <w:t>.</w:t>
      </w:r>
      <w:r>
        <w:rPr>
          <w:rFonts w:hint="eastAsia"/>
          <w:snapToGrid w:val="0"/>
          <w:kern w:val="0"/>
        </w:rPr>
        <w:t>3</w:t>
      </w:r>
      <w:r>
        <w:rPr>
          <w:snapToGrid w:val="0"/>
          <w:kern w:val="0"/>
        </w:rPr>
        <w:t xml:space="preserve">  </w:t>
      </w:r>
      <w:r>
        <w:rPr>
          <w:rFonts w:hint="eastAsia"/>
          <w:snapToGrid w:val="0"/>
          <w:kern w:val="0"/>
        </w:rPr>
        <w:t>招标文件的修改将构成招标文件的一部分，对投标人有约束力。</w:t>
      </w:r>
    </w:p>
    <w:p w14:paraId="79F57A93">
      <w:pPr>
        <w:adjustRightInd w:val="0"/>
        <w:spacing w:line="360" w:lineRule="auto"/>
        <w:ind w:firstLine="600"/>
        <w:jc w:val="center"/>
        <w:rPr>
          <w:rFonts w:asciiTheme="minorEastAsia" w:hAnsiTheme="minorEastAsia" w:eastAsiaTheme="minorEastAsia"/>
          <w:b/>
          <w:snapToGrid w:val="0"/>
          <w:kern w:val="0"/>
        </w:rPr>
      </w:pPr>
    </w:p>
    <w:p w14:paraId="3774588F">
      <w:pPr>
        <w:pStyle w:val="4"/>
        <w:rPr>
          <w:b/>
          <w:bCs/>
        </w:rPr>
      </w:pPr>
      <w:bookmarkStart w:id="107" w:name="q6"/>
      <w:bookmarkEnd w:id="107"/>
      <w:bookmarkStart w:id="108" w:name="_Toc29833"/>
      <w:bookmarkStart w:id="109" w:name="_Toc13941"/>
      <w:r>
        <w:rPr>
          <w:rFonts w:hint="eastAsia"/>
          <w:b/>
          <w:bCs/>
        </w:rPr>
        <w:t>三、投标文件的编写</w:t>
      </w:r>
      <w:bookmarkEnd w:id="108"/>
      <w:bookmarkEnd w:id="109"/>
    </w:p>
    <w:p w14:paraId="4F6C5ED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466C6DD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0F2F14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5CD34B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投标文件的组成：详见《第六章  投标文件格式》。</w:t>
      </w:r>
    </w:p>
    <w:p w14:paraId="0F3A31F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512B2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51A8726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472EB41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0586EE1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56C7027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168AEFF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0384961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4A8D7FC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2D2988D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投标文件的有效期按投标资料表第8项规定。</w:t>
      </w:r>
    </w:p>
    <w:p w14:paraId="04FDF6A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4F3B1E0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7EE782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以下有关投标保证金的条款仅适用于需要缴纳投标保证金的项目。是否需要缴纳投标保证金以《投标资料表》中的规定或说明为准。</w:t>
      </w:r>
    </w:p>
    <w:p w14:paraId="21C85D0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提交一笔不少于投标资料表第9项所规定的投标保证金。投标保证金为投标文件的组成部分之一。</w:t>
      </w:r>
    </w:p>
    <w:p w14:paraId="3550C17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453E5CE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投标保证金应以支票、银行转账或采购代理机构能够接受的其它非现金形式提交。（注：投标保证金必须从投标供应商基本账户转出，否则属于隐瞒真实情况，提供虚假资料。）</w:t>
      </w:r>
    </w:p>
    <w:p w14:paraId="0AEDB9C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06014D6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5DDA9B3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中标人的投标保证金，采购代理机构将在中标人签订合同并支付代理服务费后5个工作日内退还。</w:t>
      </w:r>
    </w:p>
    <w:p w14:paraId="3320FF5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5084F673">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13D69E5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0153D8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1B0BEF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72CA12CA">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604ACE8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CEB2EB8">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按本须知第34条规定缴纳代理服务费。</w:t>
      </w:r>
    </w:p>
    <w:p w14:paraId="4D26BB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04F42695">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107884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认为有必要召开投标预备会，投标人应按照投标资料表第10项规定的或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10E2F2C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616F946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4C48C2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41BDD7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190C06E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14:paraId="50B8B2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投标文件数量按投标资料表第11项所述，须在每一份投标文件上明确注明“正本”或“副本”字样。一旦正本和副本有差异，以正本为准。 </w:t>
      </w:r>
    </w:p>
    <w:p w14:paraId="44A4721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为了便于投标文件保存，需提交两份投标文件备份光盘（或U盘）。</w:t>
      </w:r>
    </w:p>
    <w:p w14:paraId="2C0CBE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470BC8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32011EE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0F5944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18D1B7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投标文件不符合上述规定的，为无效投标。</w:t>
      </w:r>
    </w:p>
    <w:p w14:paraId="3222317C">
      <w:pPr>
        <w:adjustRightInd w:val="0"/>
        <w:spacing w:line="360" w:lineRule="auto"/>
        <w:rPr>
          <w:rFonts w:asciiTheme="minorEastAsia" w:hAnsiTheme="minorEastAsia" w:eastAsiaTheme="minorEastAsia"/>
          <w:snapToGrid w:val="0"/>
          <w:kern w:val="0"/>
        </w:rPr>
      </w:pPr>
    </w:p>
    <w:p w14:paraId="2AD358F6">
      <w:pPr>
        <w:pStyle w:val="4"/>
        <w:rPr>
          <w:b/>
          <w:bCs/>
        </w:rPr>
      </w:pPr>
      <w:bookmarkStart w:id="110" w:name="q7"/>
      <w:bookmarkEnd w:id="110"/>
      <w:bookmarkStart w:id="111" w:name="_Toc11917"/>
      <w:bookmarkStart w:id="112" w:name="_Toc19041"/>
      <w:r>
        <w:rPr>
          <w:rFonts w:hint="eastAsia"/>
          <w:b/>
          <w:bCs/>
        </w:rPr>
        <w:t>四、投标文件的递交</w:t>
      </w:r>
      <w:bookmarkEnd w:id="111"/>
      <w:bookmarkEnd w:id="112"/>
    </w:p>
    <w:p w14:paraId="2726FFF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7DACF6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A1128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23B640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6D5E787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2A3F87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F8F59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B4FFA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5EA787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CED26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6FFC654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71561F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109A6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54E7CBA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F0EA3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C72875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5F126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786986D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w:t>
      </w:r>
    </w:p>
    <w:p w14:paraId="342EBA9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4B76D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3CD6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5FFEA9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1B39EF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投标人应按18.1～18.7中的规定进行密封和标记后，将投标文件按照投标资料表第12项中注明的地址送至采购代理机构。</w:t>
      </w:r>
    </w:p>
    <w:p w14:paraId="43D7B0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0459A0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08BCF81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E7734C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在投标资料表第</w:t>
      </w:r>
      <w:bookmarkStart w:id="113" w:name="_Hlt35050056"/>
      <w:bookmarkEnd w:id="113"/>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32D3B52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39439BF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14:paraId="11562B2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1406FE3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1B3AAD7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155EC3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38467EC5">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42859DB9">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2AEBFA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46F596C1">
      <w:pPr>
        <w:tabs>
          <w:tab w:val="left" w:pos="0"/>
        </w:tabs>
        <w:adjustRightInd w:val="0"/>
        <w:spacing w:line="360" w:lineRule="auto"/>
        <w:rPr>
          <w:rFonts w:asciiTheme="minorEastAsia" w:hAnsiTheme="minorEastAsia" w:eastAsiaTheme="minorEastAsia"/>
          <w:snapToGrid w:val="0"/>
          <w:kern w:val="0"/>
        </w:rPr>
      </w:pPr>
    </w:p>
    <w:p w14:paraId="3251AC66">
      <w:pPr>
        <w:pStyle w:val="4"/>
        <w:rPr>
          <w:b/>
          <w:bCs/>
        </w:rPr>
      </w:pPr>
      <w:bookmarkStart w:id="114" w:name="q8"/>
      <w:bookmarkEnd w:id="114"/>
      <w:bookmarkStart w:id="115" w:name="_Toc12223"/>
      <w:bookmarkStart w:id="116" w:name="_Toc366"/>
      <w:r>
        <w:rPr>
          <w:rFonts w:hint="eastAsia"/>
          <w:b/>
          <w:bCs/>
        </w:rPr>
        <w:t>五、开标和评标</w:t>
      </w:r>
      <w:bookmarkEnd w:id="115"/>
      <w:bookmarkEnd w:id="116"/>
    </w:p>
    <w:p w14:paraId="3C7271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533E1B5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在投标资料表第12项规定的时间和地点公开开标。</w:t>
      </w:r>
    </w:p>
    <w:p w14:paraId="5DA551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1668F4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157E6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5D72CE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38720F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1DC70A7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232212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600E23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3CB27F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采购代理机构就投标文件中的资格证明等内容对投标供应商进行资格性审查，审查不合格的，认定其投标无效。合格投标人不足3家的，不得评标。</w:t>
      </w:r>
    </w:p>
    <w:p w14:paraId="7DB1BC4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23A7D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229BF4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03DE03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27264C90">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7086B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5C6024F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1BF76D0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154989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5D9A50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39D4F9F">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5855520">
      <w:pPr>
        <w:adjustRightInd w:val="0"/>
        <w:spacing w:line="360" w:lineRule="auto"/>
        <w:rPr>
          <w:snapToGrid w:val="0"/>
          <w:kern w:val="0"/>
        </w:rPr>
      </w:pPr>
      <w:r>
        <w:rPr>
          <w:rFonts w:hint="eastAsia" w:asciiTheme="minorEastAsia" w:hAnsiTheme="minorEastAsia" w:eastAsiaTheme="minorEastAsia"/>
          <w:snapToGrid w:val="0"/>
          <w:kern w:val="0"/>
        </w:rPr>
        <w:t xml:space="preserve">24.8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70FA4D4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24.9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18B7B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11D7ED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16551C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7D821CE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40E57F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03C3AB5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 xml:space="preserve"> 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A43962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  评标委员会按 “第三章 投标审查和评标方法”所述进行详细评审，并推荐中标候选人。</w:t>
      </w:r>
    </w:p>
    <w:p w14:paraId="55FC249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62442E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7BFB4E1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4EB659A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96E0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2E72FEF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2A6A690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1D0D977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F1669EA">
      <w:pPr>
        <w:adjustRightInd w:val="0"/>
        <w:spacing w:line="360" w:lineRule="auto"/>
        <w:ind w:left="357"/>
        <w:jc w:val="center"/>
        <w:rPr>
          <w:rFonts w:asciiTheme="minorEastAsia" w:hAnsiTheme="minorEastAsia" w:eastAsiaTheme="minorEastAsia"/>
          <w:b/>
          <w:snapToGrid w:val="0"/>
          <w:kern w:val="0"/>
        </w:rPr>
      </w:pPr>
      <w:bookmarkStart w:id="117" w:name="q9"/>
      <w:bookmarkEnd w:id="117"/>
    </w:p>
    <w:p w14:paraId="5455632D">
      <w:pPr>
        <w:pStyle w:val="4"/>
        <w:rPr>
          <w:b/>
          <w:bCs/>
        </w:rPr>
      </w:pPr>
      <w:bookmarkStart w:id="118" w:name="_Toc21988"/>
      <w:bookmarkStart w:id="119" w:name="_Toc29246"/>
      <w:r>
        <w:rPr>
          <w:rFonts w:hint="eastAsia"/>
          <w:b/>
          <w:bCs/>
        </w:rPr>
        <w:t>六、授予合同</w:t>
      </w:r>
      <w:bookmarkEnd w:id="118"/>
      <w:bookmarkEnd w:id="119"/>
    </w:p>
    <w:p w14:paraId="5B2C83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1F514AB1">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35882AB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C4B9C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采购代理机构在发出《中标通知书》之前，将中标结果通过政府采购指定网站进行公示。中标结果公示期满无异议或者异议不成立的，采购代理机构将发出《中标通知书》。《中标通知书》一经发出即发生法律效力。</w:t>
      </w:r>
      <w:r>
        <w:rPr>
          <w:rFonts w:asciiTheme="minorEastAsia" w:hAnsiTheme="minorEastAsia" w:eastAsiaTheme="minorEastAsia"/>
          <w:snapToGrid w:val="0"/>
          <w:kern w:val="0"/>
        </w:rPr>
        <w:t xml:space="preserve"> </w:t>
      </w:r>
    </w:p>
    <w:p w14:paraId="0C7906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0D86402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中标人向采购代理机构支付代理服务费后，领取《中标通知书》。</w:t>
      </w:r>
    </w:p>
    <w:p w14:paraId="1272DD5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6DD9953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6F12A61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51E1F0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489052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201B572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51822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提交投标资料表第15项规定的履约保证金。</w:t>
      </w:r>
    </w:p>
    <w:p w14:paraId="2B856D5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代理服务费</w:t>
      </w:r>
    </w:p>
    <w:p w14:paraId="048563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代理服务费按投标资料表第16项所述。</w:t>
      </w:r>
    </w:p>
    <w:p w14:paraId="09BD514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代理服务费金额按下列方法计算：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25F6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6F48A96C">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9525" b="10160"/>
                      <wp:wrapNone/>
                      <wp:docPr id="8" name="直线 6"/>
                      <wp:cNvGraphicFramePr/>
                      <a:graphic xmlns:a="http://schemas.openxmlformats.org/drawingml/2006/main">
                        <a:graphicData uri="http://schemas.microsoft.com/office/word/2010/wordprocessingShape">
                          <wps:wsp>
                            <wps:cNvCnPr/>
                            <wps:spPr>
                              <a:xfrm flipH="1" flipV="1">
                                <a:off x="0" y="0"/>
                                <a:ext cx="1451610" cy="73215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tYT3RAAAACAEAAA8AAAAAAAAAAQAgAAAAIgAAAGRycy9kb3ducmV2LnhtbFBLAQIUABQAAAAI&#10;AIdO4kBHtBzs9AEAAPYDAAAOAAAAAAAAAAEAIAAAACABAABkcnMvZTJvRG9jLnhtbFBLBQYAAAAA&#10;BgAGAFkBAACG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6350" b="8255"/>
                      <wp:wrapNone/>
                      <wp:docPr id="9" name="直线 7"/>
                      <wp:cNvGraphicFramePr/>
                      <a:graphic xmlns:a="http://schemas.openxmlformats.org/drawingml/2006/main">
                        <a:graphicData uri="http://schemas.microsoft.com/office/word/2010/wordprocessingShape">
                          <wps:wsp>
                            <wps:cNvCnPr/>
                            <wps:spPr>
                              <a:xfrm flipH="1" flipV="1">
                                <a:off x="0" y="0"/>
                                <a:ext cx="1981200" cy="42164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o/+y0wAAAAkBAAAPAAAAAAAAAAEAIAAAACIAAABkcnMvZG93bnJldi54bWxQSwECFAAU&#10;AAAACACHTuJAHmsIxPYBAAD2AwAADgAAAAAAAAABACAAAAAiAQAAZHJzL2Uyb0RvYy54bWxQSwUG&#10;AAAAAAYABgBZAQAAig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6985" b="6985"/>
                      <wp:wrapNone/>
                      <wp:docPr id="7" name="直线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DL2qurgAQAA2Q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05A3F7F9">
            <w:pPr>
              <w:ind w:firstLine="392" w:firstLineChars="186"/>
              <w:rPr>
                <w:rFonts w:ascii="宋体" w:hAnsi="宋体"/>
                <w:b/>
                <w:szCs w:val="21"/>
              </w:rPr>
            </w:pPr>
            <w:r>
              <w:rPr>
                <w:rFonts w:hint="eastAsia" w:ascii="宋体" w:hAnsi="宋体"/>
                <w:b/>
                <w:szCs w:val="21"/>
              </w:rPr>
              <w:t>费率　　　　　</w:t>
            </w:r>
          </w:p>
          <w:p w14:paraId="61C85C05">
            <w:pPr>
              <w:ind w:firstLine="1054"/>
              <w:rPr>
                <w:rFonts w:ascii="宋体" w:hAnsi="宋体"/>
                <w:b/>
                <w:szCs w:val="21"/>
              </w:rPr>
            </w:pPr>
            <w:r>
              <w:rPr>
                <w:rFonts w:hint="eastAsia" w:ascii="宋体" w:hAnsi="宋体"/>
                <w:b/>
                <w:szCs w:val="21"/>
              </w:rPr>
              <w:t>　　　</w:t>
            </w:r>
          </w:p>
          <w:p w14:paraId="467B6C0B">
            <w:pPr>
              <w:rPr>
                <w:rFonts w:ascii="宋体" w:hAnsi="宋体"/>
                <w:b/>
                <w:szCs w:val="21"/>
              </w:rPr>
            </w:pPr>
            <w:r>
              <w:rPr>
                <w:rFonts w:hint="eastAsia" w:ascii="宋体" w:hAnsi="宋体"/>
                <w:b/>
                <w:szCs w:val="21"/>
              </w:rPr>
              <w:t>中标金额</w:t>
            </w:r>
          </w:p>
        </w:tc>
        <w:tc>
          <w:tcPr>
            <w:tcW w:w="2056" w:type="dxa"/>
            <w:vAlign w:val="center"/>
          </w:tcPr>
          <w:p w14:paraId="51A1F481">
            <w:pPr>
              <w:jc w:val="center"/>
              <w:rPr>
                <w:rFonts w:ascii="宋体" w:hAnsi="宋体"/>
                <w:b/>
                <w:szCs w:val="21"/>
              </w:rPr>
            </w:pPr>
            <w:r>
              <w:rPr>
                <w:rFonts w:hint="eastAsia" w:ascii="宋体" w:hAnsi="宋体"/>
                <w:b/>
                <w:szCs w:val="21"/>
              </w:rPr>
              <w:t>货物采购</w:t>
            </w:r>
          </w:p>
        </w:tc>
        <w:tc>
          <w:tcPr>
            <w:tcW w:w="2056" w:type="dxa"/>
            <w:vAlign w:val="center"/>
          </w:tcPr>
          <w:p w14:paraId="5841B674">
            <w:pPr>
              <w:jc w:val="center"/>
              <w:rPr>
                <w:rFonts w:ascii="宋体" w:hAnsi="宋体"/>
                <w:b/>
                <w:szCs w:val="21"/>
              </w:rPr>
            </w:pPr>
            <w:r>
              <w:rPr>
                <w:rFonts w:hint="eastAsia" w:ascii="宋体" w:hAnsi="宋体"/>
                <w:b/>
                <w:szCs w:val="21"/>
              </w:rPr>
              <w:t>服务采购</w:t>
            </w:r>
          </w:p>
        </w:tc>
        <w:tc>
          <w:tcPr>
            <w:tcW w:w="2057" w:type="dxa"/>
            <w:vAlign w:val="center"/>
          </w:tcPr>
          <w:p w14:paraId="31E0DCCB">
            <w:pPr>
              <w:jc w:val="center"/>
              <w:rPr>
                <w:rFonts w:ascii="宋体" w:hAnsi="宋体"/>
                <w:b/>
                <w:szCs w:val="21"/>
              </w:rPr>
            </w:pPr>
            <w:r>
              <w:rPr>
                <w:rFonts w:hint="eastAsia" w:ascii="宋体" w:hAnsi="宋体"/>
                <w:b/>
                <w:szCs w:val="21"/>
              </w:rPr>
              <w:t>工程采购</w:t>
            </w:r>
          </w:p>
        </w:tc>
      </w:tr>
      <w:tr w14:paraId="2B13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E564C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100BF22">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3E0F957D">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41B717D3">
            <w:pPr>
              <w:widowControl/>
              <w:snapToGrid w:val="0"/>
              <w:jc w:val="center"/>
              <w:rPr>
                <w:rFonts w:ascii="宋体" w:hAnsi="宋体"/>
                <w:kern w:val="0"/>
                <w:szCs w:val="21"/>
              </w:rPr>
            </w:pPr>
            <w:r>
              <w:rPr>
                <w:rFonts w:hint="eastAsia" w:ascii="宋体" w:hAnsi="宋体"/>
                <w:kern w:val="0"/>
                <w:szCs w:val="21"/>
              </w:rPr>
              <w:t>1.000%</w:t>
            </w:r>
          </w:p>
        </w:tc>
      </w:tr>
      <w:tr w14:paraId="759B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02F4FF4">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24984CC0">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79F9B53">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349F5E93">
            <w:pPr>
              <w:widowControl/>
              <w:snapToGrid w:val="0"/>
              <w:jc w:val="center"/>
              <w:rPr>
                <w:rFonts w:ascii="宋体" w:hAnsi="宋体"/>
                <w:kern w:val="0"/>
                <w:szCs w:val="21"/>
              </w:rPr>
            </w:pPr>
            <w:r>
              <w:rPr>
                <w:rFonts w:hint="eastAsia" w:ascii="宋体" w:hAnsi="宋体"/>
                <w:kern w:val="0"/>
                <w:szCs w:val="21"/>
              </w:rPr>
              <w:t>0.700%</w:t>
            </w:r>
          </w:p>
        </w:tc>
      </w:tr>
      <w:tr w14:paraId="6AF0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495EBBC">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1FB8047E">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2E6DA45E">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4EC29617">
            <w:pPr>
              <w:widowControl/>
              <w:snapToGrid w:val="0"/>
              <w:jc w:val="center"/>
              <w:rPr>
                <w:rFonts w:ascii="宋体" w:hAnsi="宋体"/>
                <w:kern w:val="0"/>
                <w:szCs w:val="21"/>
              </w:rPr>
            </w:pPr>
            <w:r>
              <w:rPr>
                <w:rFonts w:hint="eastAsia" w:ascii="宋体" w:hAnsi="宋体"/>
                <w:kern w:val="0"/>
                <w:szCs w:val="21"/>
              </w:rPr>
              <w:t>0.550%</w:t>
            </w:r>
          </w:p>
        </w:tc>
      </w:tr>
      <w:tr w14:paraId="2994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40D7F15">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2F20180A">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4D97DECC">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6F9B9948">
            <w:pPr>
              <w:widowControl/>
              <w:snapToGrid w:val="0"/>
              <w:jc w:val="center"/>
              <w:rPr>
                <w:rFonts w:ascii="宋体" w:hAnsi="宋体"/>
                <w:kern w:val="0"/>
                <w:szCs w:val="21"/>
              </w:rPr>
            </w:pPr>
            <w:r>
              <w:rPr>
                <w:rFonts w:hint="eastAsia" w:ascii="宋体" w:hAnsi="宋体"/>
                <w:kern w:val="0"/>
                <w:szCs w:val="21"/>
              </w:rPr>
              <w:t>0.350%</w:t>
            </w:r>
          </w:p>
        </w:tc>
      </w:tr>
      <w:tr w14:paraId="4EA5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E662CA1">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4899F93">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4D602F61">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6101DE20">
            <w:pPr>
              <w:widowControl/>
              <w:snapToGrid w:val="0"/>
              <w:jc w:val="center"/>
              <w:rPr>
                <w:rFonts w:ascii="宋体" w:hAnsi="宋体"/>
                <w:kern w:val="0"/>
                <w:szCs w:val="21"/>
              </w:rPr>
            </w:pPr>
            <w:r>
              <w:rPr>
                <w:rFonts w:hint="eastAsia" w:ascii="宋体" w:hAnsi="宋体"/>
                <w:kern w:val="0"/>
                <w:szCs w:val="21"/>
              </w:rPr>
              <w:t>0.200%</w:t>
            </w:r>
          </w:p>
        </w:tc>
      </w:tr>
      <w:tr w14:paraId="6AD7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4007283E">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1821B8EF">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3D0D63F9">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6149ABD7">
            <w:pPr>
              <w:widowControl/>
              <w:snapToGrid w:val="0"/>
              <w:jc w:val="center"/>
              <w:rPr>
                <w:rFonts w:ascii="宋体" w:hAnsi="宋体"/>
                <w:kern w:val="0"/>
                <w:szCs w:val="21"/>
              </w:rPr>
            </w:pPr>
            <w:r>
              <w:rPr>
                <w:rFonts w:hint="eastAsia" w:ascii="宋体" w:hAnsi="宋体"/>
                <w:kern w:val="0"/>
                <w:szCs w:val="21"/>
              </w:rPr>
              <w:t>0.050%</w:t>
            </w:r>
          </w:p>
        </w:tc>
      </w:tr>
      <w:tr w14:paraId="4F55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79AE615">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5B4AA9BB">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4CEDBAD9">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6B00F714">
            <w:pPr>
              <w:widowControl/>
              <w:snapToGrid w:val="0"/>
              <w:jc w:val="center"/>
              <w:rPr>
                <w:rFonts w:ascii="宋体" w:hAnsi="宋体"/>
                <w:bCs/>
                <w:kern w:val="0"/>
                <w:szCs w:val="21"/>
              </w:rPr>
            </w:pPr>
            <w:r>
              <w:rPr>
                <w:rFonts w:hint="eastAsia" w:ascii="宋体" w:hAnsi="宋体"/>
                <w:bCs/>
                <w:kern w:val="0"/>
                <w:szCs w:val="21"/>
              </w:rPr>
              <w:t>0.035%</w:t>
            </w:r>
          </w:p>
        </w:tc>
      </w:tr>
      <w:tr w14:paraId="0DBB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6B55F57">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32BE7D5E">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6F720897">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7A938319">
            <w:pPr>
              <w:widowControl/>
              <w:snapToGrid w:val="0"/>
              <w:jc w:val="center"/>
              <w:rPr>
                <w:rFonts w:ascii="宋体" w:hAnsi="宋体"/>
                <w:bCs/>
                <w:kern w:val="0"/>
                <w:szCs w:val="21"/>
              </w:rPr>
            </w:pPr>
            <w:r>
              <w:rPr>
                <w:rFonts w:hint="eastAsia" w:ascii="宋体" w:hAnsi="宋体"/>
                <w:bCs/>
                <w:kern w:val="0"/>
                <w:szCs w:val="21"/>
              </w:rPr>
              <w:t>0.008%</w:t>
            </w:r>
          </w:p>
        </w:tc>
      </w:tr>
      <w:tr w14:paraId="41CE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2BF6621">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12D0A4F1">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10127DD">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46A9101">
            <w:pPr>
              <w:widowControl/>
              <w:snapToGrid w:val="0"/>
              <w:jc w:val="center"/>
              <w:rPr>
                <w:rFonts w:ascii="宋体" w:hAnsi="宋体"/>
                <w:bCs/>
                <w:kern w:val="0"/>
                <w:szCs w:val="21"/>
              </w:rPr>
            </w:pPr>
            <w:r>
              <w:rPr>
                <w:rFonts w:hint="eastAsia" w:ascii="宋体" w:hAnsi="宋体"/>
                <w:bCs/>
                <w:kern w:val="0"/>
                <w:szCs w:val="21"/>
              </w:rPr>
              <w:t>0.006%</w:t>
            </w:r>
          </w:p>
        </w:tc>
      </w:tr>
      <w:tr w14:paraId="59BD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1A89EB6C">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6D33774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6D9EB40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4D824172">
            <w:pPr>
              <w:widowControl/>
              <w:snapToGrid w:val="0"/>
              <w:jc w:val="center"/>
              <w:rPr>
                <w:rFonts w:ascii="宋体" w:hAnsi="宋体"/>
                <w:bCs/>
                <w:kern w:val="0"/>
                <w:szCs w:val="21"/>
              </w:rPr>
            </w:pPr>
            <w:r>
              <w:rPr>
                <w:rFonts w:hint="eastAsia" w:ascii="宋体" w:hAnsi="宋体"/>
                <w:bCs/>
                <w:kern w:val="0"/>
                <w:szCs w:val="21"/>
              </w:rPr>
              <w:t>0.004%</w:t>
            </w:r>
          </w:p>
        </w:tc>
      </w:tr>
    </w:tbl>
    <w:p w14:paraId="32D0B03A">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注：1、代理服务费按差额定率累进法计算。例如：某货物类项目中标金额为1000万元，计算代理服务费如下：</w:t>
      </w:r>
    </w:p>
    <w:p w14:paraId="211D6F67">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26D161E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118C157B">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23ED171F">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34A71E47">
      <w:pPr>
        <w:spacing w:line="360" w:lineRule="auto"/>
        <w:ind w:firstLine="1044" w:firstLineChars="200"/>
        <w:rPr>
          <w:b/>
          <w:sz w:val="52"/>
          <w:szCs w:val="52"/>
        </w:rPr>
      </w:pPr>
    </w:p>
    <w:p w14:paraId="61F8DBAE">
      <w:pPr>
        <w:pStyle w:val="4"/>
        <w:rPr>
          <w:b/>
          <w:bCs/>
        </w:rPr>
      </w:pPr>
      <w:bookmarkStart w:id="120" w:name="_Toc32745"/>
      <w:bookmarkStart w:id="121" w:name="_Toc21160"/>
      <w:r>
        <w:rPr>
          <w:rFonts w:hint="eastAsia"/>
          <w:b/>
          <w:bCs/>
        </w:rPr>
        <w:t>七、质疑处理</w:t>
      </w:r>
      <w:bookmarkEnd w:id="120"/>
      <w:bookmarkEnd w:id="121"/>
    </w:p>
    <w:p w14:paraId="17BBD5BB">
      <w:pPr>
        <w:spacing w:line="360" w:lineRule="auto"/>
        <w:rPr>
          <w:rFonts w:asciiTheme="majorEastAsia" w:hAnsiTheme="majorEastAsia" w:eastAsiaTheme="majorEastAsia"/>
          <w:b/>
          <w:bCs/>
          <w:szCs w:val="21"/>
        </w:rPr>
      </w:pPr>
      <w:bookmarkStart w:id="122" w:name="_Hlk72439706"/>
      <w:r>
        <w:rPr>
          <w:rFonts w:hint="eastAsia" w:asciiTheme="majorEastAsia" w:hAnsiTheme="majorEastAsia" w:eastAsiaTheme="majorEastAsia"/>
          <w:b/>
          <w:bCs/>
          <w:szCs w:val="21"/>
        </w:rPr>
        <w:t>35.质疑提出与答复</w:t>
      </w:r>
    </w:p>
    <w:p w14:paraId="2E2DB9A5">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2D8D090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022873C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4F1F5C4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《中华人民共和国政府采购法》、《中华人民共和国政府采购法实施条例》、《政府采购质疑和投诉办法》（财政部令第94号）和其他有关法律法规规定。</w:t>
      </w:r>
    </w:p>
    <w:p w14:paraId="4E3F81A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3CC4843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123" w:name="_Hlk75374941"/>
      <w:r>
        <w:rPr>
          <w:rFonts w:hint="eastAsia" w:asciiTheme="majorEastAsia" w:hAnsiTheme="majorEastAsia" w:eastAsiaTheme="majorEastAsia"/>
          <w:szCs w:val="21"/>
        </w:rPr>
        <w:t>以联合体形式参与的，质疑应当由组成联合体的所有成员共同提出</w:t>
      </w:r>
      <w:bookmarkEnd w:id="123"/>
      <w:r>
        <w:rPr>
          <w:rFonts w:hint="eastAsia" w:asciiTheme="majorEastAsia" w:hAnsiTheme="majorEastAsia" w:eastAsiaTheme="majorEastAsia"/>
          <w:szCs w:val="21"/>
        </w:rPr>
        <w:t>；</w:t>
      </w:r>
    </w:p>
    <w:p w14:paraId="43337A7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1AADEE3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165E20BF">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6748F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ED9045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D6092E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BCE924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1C0325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F36083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F8E7BE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D63935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1B39C3E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429598A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62B231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1612D5ED">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0C00A3E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7248356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7036B31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575CEE9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561E8E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5FF952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7545140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8B43BE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4A5AC7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28B50DC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53ECACA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549282B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26A8F2BD">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39DA066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13A8F050">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122"/>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BD6622E-E4FA-4AEF-AECA-00E442F54E6F}"/>
  </w:font>
  <w:font w:name="黑体">
    <w:panose1 w:val="02010609060101010101"/>
    <w:charset w:val="86"/>
    <w:family w:val="auto"/>
    <w:pitch w:val="default"/>
    <w:sig w:usb0="800002BF" w:usb1="38CF7CFA" w:usb2="00000016" w:usb3="00000000" w:csb0="00040001" w:csb1="00000000"/>
    <w:embedRegular r:id="rId2" w:fontKey="{51FB5A71-9BD9-4631-BEFB-F237EB4EE01A}"/>
  </w:font>
  <w:font w:name="Courier New">
    <w:panose1 w:val="02070309020205020404"/>
    <w:charset w:val="01"/>
    <w:family w:val="modern"/>
    <w:pitch w:val="default"/>
    <w:sig w:usb0="E0002AFF" w:usb1="C0007843" w:usb2="00000009" w:usb3="00000000" w:csb0="400001FF" w:csb1="FFFF0000"/>
    <w:embedRegular r:id="rId3" w:fontKey="{C9C89BDB-6F92-4C87-BA56-530A2CB4241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4" w:fontKey="{F11D323F-D6EE-48BD-A3A0-D37C8C7DC3FF}"/>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embedRegular r:id="rId5" w:fontKey="{8E286E71-7E51-4A98-812E-7055CA15237A}"/>
  </w:font>
  <w:font w:name="隶书">
    <w:panose1 w:val="0201050906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embedRegular r:id="rId6" w:fontKey="{262AEA01-5FB0-4591-97F2-57FC29FEF8C8}"/>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7" w:fontKey="{E8513FFC-77CD-425C-93EE-2E1D3EB70686}"/>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embedRegular r:id="rId8" w:fontKey="{9691B6A5-6851-4D81-86EB-010D27477EB5}"/>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
    <w:altName w:val="微软雅黑"/>
    <w:panose1 w:val="00000000000000000000"/>
    <w:charset w:val="00"/>
    <w:family w:val="auto"/>
    <w:pitch w:val="default"/>
    <w:sig w:usb0="00000000" w:usb1="00000000"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经典等线简">
    <w:altName w:val="宋体"/>
    <w:panose1 w:val="00000000000000000000"/>
    <w:charset w:val="86"/>
    <w:family w:val="auto"/>
    <w:pitch w:val="default"/>
    <w:sig w:usb0="00000000" w:usb1="00000000" w:usb2="0000001E" w:usb3="00000000" w:csb0="00040000" w:csb1="00000000"/>
    <w:embedRegular r:id="rId9" w:fontKey="{2EF2540E-46FB-4A26-B5FD-761A30B119FB}"/>
  </w:font>
  <w:font w:name="经典标宋简">
    <w:altName w:val="宋体"/>
    <w:panose1 w:val="00000000000000000000"/>
    <w:charset w:val="86"/>
    <w:family w:val="auto"/>
    <w:pitch w:val="default"/>
    <w:sig w:usb0="00000000" w:usb1="00000000" w:usb2="0000001E" w:usb3="00000000" w:csb0="00040000" w:csb1="00000000"/>
    <w:embedRegular r:id="rId10" w:fontKey="{2458A49F-6372-4C5B-A451-3137EDD1BB74}"/>
  </w:font>
  <w:font w:name="MS Mincho">
    <w:panose1 w:val="02020609040205080304"/>
    <w:charset w:val="80"/>
    <w:family w:val="modern"/>
    <w:pitch w:val="default"/>
    <w:sig w:usb0="E00002FF" w:usb1="6AC7FDFB" w:usb2="00000012" w:usb3="00000000" w:csb0="4002009F" w:csb1="DFD70000"/>
    <w:embedRegular r:id="rId11" w:fontKey="{BCA69802-3C1A-4727-A732-B826DB4342CC}"/>
  </w:font>
  <w:font w:name="Segoe UI Symbol">
    <w:panose1 w:val="020B0502040204020203"/>
    <w:charset w:val="00"/>
    <w:family w:val="swiss"/>
    <w:pitch w:val="default"/>
    <w:sig w:usb0="8000006F" w:usb1="1200FBEF" w:usb2="0064C000" w:usb3="00000002" w:csb0="00000001" w:csb1="40000000"/>
    <w:embedRegular r:id="rId12" w:fontKey="{8BBF2E91-1938-4A98-9797-2EE7A246AB62}"/>
  </w:font>
  <w:font w:name="方正小标宋_GBK">
    <w:panose1 w:val="02000000000000000000"/>
    <w:charset w:val="86"/>
    <w:family w:val="script"/>
    <w:pitch w:val="default"/>
    <w:sig w:usb0="A00002BF" w:usb1="38CF7CFA" w:usb2="00082016" w:usb3="00000000" w:csb0="00040001" w:csb1="00000000"/>
    <w:embedRegular r:id="rId13" w:fontKey="{587BC4CC-2CCB-4BE5-B4A1-280B9120E2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905CB">
    <w:pPr>
      <w:pStyle w:val="32"/>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4</w:t>
    </w:r>
    <w:r>
      <w:rPr>
        <w:rStyle w:val="55"/>
      </w:rPr>
      <w:fldChar w:fldCharType="end"/>
    </w:r>
  </w:p>
  <w:p w14:paraId="29290A33">
    <w:pPr>
      <w:pStyle w:val="32"/>
    </w:pPr>
    <w:r>
      <w:rPr>
        <w:rFonts w:hint="eastAsia"/>
      </w:rPr>
      <w:t xml:space="preserve"> </w:t>
    </w:r>
  </w:p>
  <w:p w14:paraId="32359A4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96BC5">
    <w:pPr>
      <w:pStyle w:val="33"/>
      <w:tabs>
        <w:tab w:val="center" w:pos="4819"/>
        <w:tab w:val="right" w:pos="9638"/>
      </w:tabs>
      <w:jc w:val="left"/>
      <w:rPr>
        <w:rFonts w:asciiTheme="minorEastAsia" w:hAnsiTheme="minorEastAsia" w:eastAsiaTheme="minorEastAsia"/>
      </w:rPr>
    </w:pPr>
    <w:r>
      <w:tab/>
    </w:r>
    <w:r>
      <w:rPr>
        <w:rFonts w:hint="eastAsia" w:asciiTheme="minorEastAsia" w:hAnsiTheme="minorEastAsia" w:eastAsiaTheme="minorEastAsia"/>
      </w:rPr>
      <w:t>项目名称：皇岗海关新皇岗口岸手持式化学探测器采购项目                              项目编号：SZZZ2026-QA0042</w:t>
    </w:r>
  </w:p>
  <w:p w14:paraId="2B8D4E0A">
    <w:pPr>
      <w:pStyle w:val="33"/>
      <w:tabs>
        <w:tab w:val="center" w:pos="4819"/>
        <w:tab w:val="right" w:pos="9638"/>
      </w:tabs>
      <w:jc w:val="left"/>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A26E5E"/>
    <w:multiLevelType w:val="singleLevel"/>
    <w:tmpl w:val="A5A26E5E"/>
    <w:lvl w:ilvl="0" w:tentative="0">
      <w:start w:val="2"/>
      <w:numFmt w:val="decimal"/>
      <w:suff w:val="nothing"/>
      <w:lvlText w:val="%1、"/>
      <w:lvlJc w:val="left"/>
    </w:lvl>
  </w:abstractNum>
  <w:abstractNum w:abstractNumId="1">
    <w:nsid w:val="F54C8514"/>
    <w:multiLevelType w:val="singleLevel"/>
    <w:tmpl w:val="F54C8514"/>
    <w:lvl w:ilvl="0" w:tentative="0">
      <w:start w:val="3"/>
      <w:numFmt w:val="chineseCounting"/>
      <w:suff w:val="nothing"/>
      <w:lvlText w:val="%1、"/>
      <w:lvlJc w:val="left"/>
      <w:rPr>
        <w:rFonts w:hint="eastAsia"/>
      </w:rPr>
    </w:lvl>
  </w:abstractNum>
  <w:abstractNum w:abstractNumId="2">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9"/>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5"/>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5OTA2MGI3MGFmOGU0NTE2YWU2ZGI5ZDJmMmNkMGUifQ=="/>
  </w:docVars>
  <w:rsids>
    <w:rsidRoot w:val="00172A27"/>
    <w:rsid w:val="0000124D"/>
    <w:rsid w:val="0000134D"/>
    <w:rsid w:val="00001635"/>
    <w:rsid w:val="000035D6"/>
    <w:rsid w:val="000036D6"/>
    <w:rsid w:val="00003921"/>
    <w:rsid w:val="000039AF"/>
    <w:rsid w:val="00003A46"/>
    <w:rsid w:val="000042A3"/>
    <w:rsid w:val="0000430B"/>
    <w:rsid w:val="00004906"/>
    <w:rsid w:val="000049DE"/>
    <w:rsid w:val="00004AF7"/>
    <w:rsid w:val="00004FC4"/>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4515"/>
    <w:rsid w:val="00014625"/>
    <w:rsid w:val="000155DA"/>
    <w:rsid w:val="00015940"/>
    <w:rsid w:val="00015AF5"/>
    <w:rsid w:val="00016458"/>
    <w:rsid w:val="000165EF"/>
    <w:rsid w:val="00016FC3"/>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2CF"/>
    <w:rsid w:val="00042758"/>
    <w:rsid w:val="000430AA"/>
    <w:rsid w:val="0004315F"/>
    <w:rsid w:val="00043926"/>
    <w:rsid w:val="00043D2B"/>
    <w:rsid w:val="00043FC3"/>
    <w:rsid w:val="000447F6"/>
    <w:rsid w:val="00044A93"/>
    <w:rsid w:val="000450E0"/>
    <w:rsid w:val="00045923"/>
    <w:rsid w:val="00045EB5"/>
    <w:rsid w:val="00046329"/>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57D64"/>
    <w:rsid w:val="00060349"/>
    <w:rsid w:val="00060526"/>
    <w:rsid w:val="00061300"/>
    <w:rsid w:val="00061998"/>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554"/>
    <w:rsid w:val="00074BEF"/>
    <w:rsid w:val="00075A0C"/>
    <w:rsid w:val="00075AD5"/>
    <w:rsid w:val="00080168"/>
    <w:rsid w:val="00080188"/>
    <w:rsid w:val="00080639"/>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F62"/>
    <w:rsid w:val="000870F2"/>
    <w:rsid w:val="000871D6"/>
    <w:rsid w:val="000871FE"/>
    <w:rsid w:val="000878FF"/>
    <w:rsid w:val="00087F07"/>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9"/>
    <w:rsid w:val="000A3358"/>
    <w:rsid w:val="000A43D6"/>
    <w:rsid w:val="000A530C"/>
    <w:rsid w:val="000A54E6"/>
    <w:rsid w:val="000A584E"/>
    <w:rsid w:val="000A58B9"/>
    <w:rsid w:val="000A5A8E"/>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B761C"/>
    <w:rsid w:val="000C080D"/>
    <w:rsid w:val="000C1B95"/>
    <w:rsid w:val="000C299D"/>
    <w:rsid w:val="000C2A5E"/>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AFF"/>
    <w:rsid w:val="000D5E0E"/>
    <w:rsid w:val="000D5E7D"/>
    <w:rsid w:val="000D5FC1"/>
    <w:rsid w:val="000D6088"/>
    <w:rsid w:val="000D62AA"/>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6437"/>
    <w:rsid w:val="000E671E"/>
    <w:rsid w:val="000F06E7"/>
    <w:rsid w:val="000F0B03"/>
    <w:rsid w:val="000F0D6F"/>
    <w:rsid w:val="000F1A24"/>
    <w:rsid w:val="000F1DAB"/>
    <w:rsid w:val="000F1EDD"/>
    <w:rsid w:val="000F23CA"/>
    <w:rsid w:val="000F243B"/>
    <w:rsid w:val="000F262E"/>
    <w:rsid w:val="000F3312"/>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8E6"/>
    <w:rsid w:val="00101DFC"/>
    <w:rsid w:val="00102684"/>
    <w:rsid w:val="00102A12"/>
    <w:rsid w:val="00102CC6"/>
    <w:rsid w:val="00102F0D"/>
    <w:rsid w:val="00102F55"/>
    <w:rsid w:val="001048BE"/>
    <w:rsid w:val="0010529C"/>
    <w:rsid w:val="00105EAE"/>
    <w:rsid w:val="001072EB"/>
    <w:rsid w:val="001075C1"/>
    <w:rsid w:val="00107924"/>
    <w:rsid w:val="001079CD"/>
    <w:rsid w:val="0011014B"/>
    <w:rsid w:val="00111274"/>
    <w:rsid w:val="001113BF"/>
    <w:rsid w:val="001117B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5C6"/>
    <w:rsid w:val="00122C88"/>
    <w:rsid w:val="00123367"/>
    <w:rsid w:val="00123EA6"/>
    <w:rsid w:val="00124206"/>
    <w:rsid w:val="0012456B"/>
    <w:rsid w:val="00124932"/>
    <w:rsid w:val="0012537B"/>
    <w:rsid w:val="00125583"/>
    <w:rsid w:val="0012558C"/>
    <w:rsid w:val="00125C9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619B"/>
    <w:rsid w:val="001467AB"/>
    <w:rsid w:val="001468DA"/>
    <w:rsid w:val="00146E88"/>
    <w:rsid w:val="00147B19"/>
    <w:rsid w:val="00150618"/>
    <w:rsid w:val="00150E64"/>
    <w:rsid w:val="00151766"/>
    <w:rsid w:val="00152417"/>
    <w:rsid w:val="0015247A"/>
    <w:rsid w:val="00152F39"/>
    <w:rsid w:val="00153226"/>
    <w:rsid w:val="00153918"/>
    <w:rsid w:val="0015395B"/>
    <w:rsid w:val="001547E1"/>
    <w:rsid w:val="00154F74"/>
    <w:rsid w:val="001557A3"/>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73E"/>
    <w:rsid w:val="00170C17"/>
    <w:rsid w:val="00170C6E"/>
    <w:rsid w:val="0017173E"/>
    <w:rsid w:val="00171CA3"/>
    <w:rsid w:val="001722D8"/>
    <w:rsid w:val="00172715"/>
    <w:rsid w:val="00172A27"/>
    <w:rsid w:val="00172AE3"/>
    <w:rsid w:val="00172C34"/>
    <w:rsid w:val="00173149"/>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B0D"/>
    <w:rsid w:val="00181389"/>
    <w:rsid w:val="00181FEA"/>
    <w:rsid w:val="00182706"/>
    <w:rsid w:val="0018284B"/>
    <w:rsid w:val="00183600"/>
    <w:rsid w:val="00183836"/>
    <w:rsid w:val="00183DB4"/>
    <w:rsid w:val="001845E9"/>
    <w:rsid w:val="00184630"/>
    <w:rsid w:val="001846D7"/>
    <w:rsid w:val="00184815"/>
    <w:rsid w:val="00184D5D"/>
    <w:rsid w:val="001856C0"/>
    <w:rsid w:val="00185CB5"/>
    <w:rsid w:val="001864FF"/>
    <w:rsid w:val="00186D2F"/>
    <w:rsid w:val="00187068"/>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A040A"/>
    <w:rsid w:val="001A0F0D"/>
    <w:rsid w:val="001A10F7"/>
    <w:rsid w:val="001A173C"/>
    <w:rsid w:val="001A1844"/>
    <w:rsid w:val="001A1998"/>
    <w:rsid w:val="001A1BE9"/>
    <w:rsid w:val="001A20CA"/>
    <w:rsid w:val="001A29AF"/>
    <w:rsid w:val="001A2B9F"/>
    <w:rsid w:val="001A2D43"/>
    <w:rsid w:val="001A2DA7"/>
    <w:rsid w:val="001A2E47"/>
    <w:rsid w:val="001A38FC"/>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4E4"/>
    <w:rsid w:val="001C6695"/>
    <w:rsid w:val="001C6BC3"/>
    <w:rsid w:val="001C7E49"/>
    <w:rsid w:val="001D012D"/>
    <w:rsid w:val="001D0702"/>
    <w:rsid w:val="001D0A25"/>
    <w:rsid w:val="001D1659"/>
    <w:rsid w:val="001D296C"/>
    <w:rsid w:val="001D2F3D"/>
    <w:rsid w:val="001D325B"/>
    <w:rsid w:val="001D33C3"/>
    <w:rsid w:val="001D3C8D"/>
    <w:rsid w:val="001D3DED"/>
    <w:rsid w:val="001D3DF8"/>
    <w:rsid w:val="001D4078"/>
    <w:rsid w:val="001D4E6F"/>
    <w:rsid w:val="001D5573"/>
    <w:rsid w:val="001D5E80"/>
    <w:rsid w:val="001D6157"/>
    <w:rsid w:val="001D6356"/>
    <w:rsid w:val="001D64D4"/>
    <w:rsid w:val="001D6A56"/>
    <w:rsid w:val="001D6EC3"/>
    <w:rsid w:val="001D710C"/>
    <w:rsid w:val="001D7C60"/>
    <w:rsid w:val="001E11B1"/>
    <w:rsid w:val="001E208F"/>
    <w:rsid w:val="001E233C"/>
    <w:rsid w:val="001E28D3"/>
    <w:rsid w:val="001E4950"/>
    <w:rsid w:val="001E5014"/>
    <w:rsid w:val="001E5337"/>
    <w:rsid w:val="001E5798"/>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1F79D2"/>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07C72"/>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5237"/>
    <w:rsid w:val="00235CCD"/>
    <w:rsid w:val="0023602F"/>
    <w:rsid w:val="00236048"/>
    <w:rsid w:val="002362ED"/>
    <w:rsid w:val="00237036"/>
    <w:rsid w:val="002372AC"/>
    <w:rsid w:val="00237A33"/>
    <w:rsid w:val="00240B0F"/>
    <w:rsid w:val="00240E54"/>
    <w:rsid w:val="00241314"/>
    <w:rsid w:val="00241B92"/>
    <w:rsid w:val="00241BD9"/>
    <w:rsid w:val="002421EF"/>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506EE"/>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D98"/>
    <w:rsid w:val="00265054"/>
    <w:rsid w:val="0026523F"/>
    <w:rsid w:val="002659F4"/>
    <w:rsid w:val="002664AE"/>
    <w:rsid w:val="0026696D"/>
    <w:rsid w:val="00266A00"/>
    <w:rsid w:val="00266BE6"/>
    <w:rsid w:val="00267127"/>
    <w:rsid w:val="00267325"/>
    <w:rsid w:val="00267935"/>
    <w:rsid w:val="002703AB"/>
    <w:rsid w:val="00270B8F"/>
    <w:rsid w:val="00270BC5"/>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922"/>
    <w:rsid w:val="0028192C"/>
    <w:rsid w:val="00281DA0"/>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0EBC"/>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CF6"/>
    <w:rsid w:val="002B2E09"/>
    <w:rsid w:val="002B366D"/>
    <w:rsid w:val="002B3959"/>
    <w:rsid w:val="002B3C7C"/>
    <w:rsid w:val="002B4B5E"/>
    <w:rsid w:val="002B4F70"/>
    <w:rsid w:val="002B4FE5"/>
    <w:rsid w:val="002B6528"/>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D51"/>
    <w:rsid w:val="002E554F"/>
    <w:rsid w:val="002E57C9"/>
    <w:rsid w:val="002E6371"/>
    <w:rsid w:val="002E6740"/>
    <w:rsid w:val="002E6A58"/>
    <w:rsid w:val="002E6D98"/>
    <w:rsid w:val="002E7881"/>
    <w:rsid w:val="002E7975"/>
    <w:rsid w:val="002E7A31"/>
    <w:rsid w:val="002F01F2"/>
    <w:rsid w:val="002F0F57"/>
    <w:rsid w:val="002F11D5"/>
    <w:rsid w:val="002F2B63"/>
    <w:rsid w:val="002F3533"/>
    <w:rsid w:val="002F3765"/>
    <w:rsid w:val="002F3D84"/>
    <w:rsid w:val="002F3D91"/>
    <w:rsid w:val="002F44A0"/>
    <w:rsid w:val="002F4F44"/>
    <w:rsid w:val="002F50DA"/>
    <w:rsid w:val="002F56B1"/>
    <w:rsid w:val="002F584B"/>
    <w:rsid w:val="002F5EEE"/>
    <w:rsid w:val="002F5FC3"/>
    <w:rsid w:val="002F6CC7"/>
    <w:rsid w:val="002F6EF2"/>
    <w:rsid w:val="002F79E2"/>
    <w:rsid w:val="002F7D39"/>
    <w:rsid w:val="002F7E4F"/>
    <w:rsid w:val="002F7E8D"/>
    <w:rsid w:val="003022E5"/>
    <w:rsid w:val="00302461"/>
    <w:rsid w:val="00302899"/>
    <w:rsid w:val="00302A04"/>
    <w:rsid w:val="003033D9"/>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14C3"/>
    <w:rsid w:val="003214D6"/>
    <w:rsid w:val="003219DD"/>
    <w:rsid w:val="00321CC1"/>
    <w:rsid w:val="0032244E"/>
    <w:rsid w:val="003226A5"/>
    <w:rsid w:val="00323373"/>
    <w:rsid w:val="003242E5"/>
    <w:rsid w:val="00324DD8"/>
    <w:rsid w:val="00324F38"/>
    <w:rsid w:val="003256E0"/>
    <w:rsid w:val="00325E6C"/>
    <w:rsid w:val="00327114"/>
    <w:rsid w:val="003278F8"/>
    <w:rsid w:val="00327B3E"/>
    <w:rsid w:val="00327D2C"/>
    <w:rsid w:val="00327EA3"/>
    <w:rsid w:val="00330181"/>
    <w:rsid w:val="003308E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EFB"/>
    <w:rsid w:val="00336334"/>
    <w:rsid w:val="003364EB"/>
    <w:rsid w:val="003374CB"/>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49F"/>
    <w:rsid w:val="00357CBA"/>
    <w:rsid w:val="003602AF"/>
    <w:rsid w:val="003619E8"/>
    <w:rsid w:val="00361F7E"/>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DD"/>
    <w:rsid w:val="003756AA"/>
    <w:rsid w:val="0037593F"/>
    <w:rsid w:val="00376309"/>
    <w:rsid w:val="00376B23"/>
    <w:rsid w:val="003773D2"/>
    <w:rsid w:val="00377942"/>
    <w:rsid w:val="00377B2A"/>
    <w:rsid w:val="00377D0B"/>
    <w:rsid w:val="003805AC"/>
    <w:rsid w:val="00380AE6"/>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6C09"/>
    <w:rsid w:val="003A6FDB"/>
    <w:rsid w:val="003B01FA"/>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63D8"/>
    <w:rsid w:val="003C6619"/>
    <w:rsid w:val="003D06D4"/>
    <w:rsid w:val="003D08DD"/>
    <w:rsid w:val="003D16D0"/>
    <w:rsid w:val="003D18C4"/>
    <w:rsid w:val="003D22E5"/>
    <w:rsid w:val="003D27FB"/>
    <w:rsid w:val="003D2F60"/>
    <w:rsid w:val="003D35B0"/>
    <w:rsid w:val="003D3FDB"/>
    <w:rsid w:val="003D482D"/>
    <w:rsid w:val="003D53DC"/>
    <w:rsid w:val="003D589A"/>
    <w:rsid w:val="003D5A2F"/>
    <w:rsid w:val="003D647B"/>
    <w:rsid w:val="003D6826"/>
    <w:rsid w:val="003D6E2F"/>
    <w:rsid w:val="003D7964"/>
    <w:rsid w:val="003D7BA8"/>
    <w:rsid w:val="003D7CC1"/>
    <w:rsid w:val="003D7DF8"/>
    <w:rsid w:val="003E0E08"/>
    <w:rsid w:val="003E1C2F"/>
    <w:rsid w:val="003E1EDB"/>
    <w:rsid w:val="003E2286"/>
    <w:rsid w:val="003E27AC"/>
    <w:rsid w:val="003E2AFF"/>
    <w:rsid w:val="003E2D32"/>
    <w:rsid w:val="003E3074"/>
    <w:rsid w:val="003E3167"/>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E77"/>
    <w:rsid w:val="003F00CA"/>
    <w:rsid w:val="003F0CC4"/>
    <w:rsid w:val="003F179E"/>
    <w:rsid w:val="003F1823"/>
    <w:rsid w:val="003F1DDF"/>
    <w:rsid w:val="003F1F28"/>
    <w:rsid w:val="003F253B"/>
    <w:rsid w:val="003F2DC7"/>
    <w:rsid w:val="003F3AB6"/>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5CEF"/>
    <w:rsid w:val="00426433"/>
    <w:rsid w:val="00426B44"/>
    <w:rsid w:val="0042746E"/>
    <w:rsid w:val="004274C8"/>
    <w:rsid w:val="004274CF"/>
    <w:rsid w:val="00427BF1"/>
    <w:rsid w:val="00427C45"/>
    <w:rsid w:val="00430022"/>
    <w:rsid w:val="00430051"/>
    <w:rsid w:val="004303FE"/>
    <w:rsid w:val="004304D3"/>
    <w:rsid w:val="00430640"/>
    <w:rsid w:val="00430E30"/>
    <w:rsid w:val="004326C7"/>
    <w:rsid w:val="00432AF7"/>
    <w:rsid w:val="004342A5"/>
    <w:rsid w:val="0043621F"/>
    <w:rsid w:val="00436AF4"/>
    <w:rsid w:val="00436D58"/>
    <w:rsid w:val="00437066"/>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26"/>
    <w:rsid w:val="00460233"/>
    <w:rsid w:val="00460E6F"/>
    <w:rsid w:val="004619CC"/>
    <w:rsid w:val="00461A62"/>
    <w:rsid w:val="00461E36"/>
    <w:rsid w:val="0046392A"/>
    <w:rsid w:val="00463A0A"/>
    <w:rsid w:val="0046451D"/>
    <w:rsid w:val="00464A3F"/>
    <w:rsid w:val="00464A7E"/>
    <w:rsid w:val="004652F8"/>
    <w:rsid w:val="00465B3E"/>
    <w:rsid w:val="00465C0D"/>
    <w:rsid w:val="00465DED"/>
    <w:rsid w:val="004662D1"/>
    <w:rsid w:val="0046656F"/>
    <w:rsid w:val="00466945"/>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D4C"/>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2AF"/>
    <w:rsid w:val="004A6E06"/>
    <w:rsid w:val="004A6E75"/>
    <w:rsid w:val="004A73C9"/>
    <w:rsid w:val="004A7475"/>
    <w:rsid w:val="004A7F95"/>
    <w:rsid w:val="004B0B26"/>
    <w:rsid w:val="004B261D"/>
    <w:rsid w:val="004B280E"/>
    <w:rsid w:val="004B32DD"/>
    <w:rsid w:val="004B35DD"/>
    <w:rsid w:val="004B38D4"/>
    <w:rsid w:val="004B4D40"/>
    <w:rsid w:val="004B6062"/>
    <w:rsid w:val="004B7A5F"/>
    <w:rsid w:val="004B7F2B"/>
    <w:rsid w:val="004C067A"/>
    <w:rsid w:val="004C1447"/>
    <w:rsid w:val="004C1F37"/>
    <w:rsid w:val="004C262D"/>
    <w:rsid w:val="004C2758"/>
    <w:rsid w:val="004C3CB6"/>
    <w:rsid w:val="004C54EE"/>
    <w:rsid w:val="004C57D7"/>
    <w:rsid w:val="004C586A"/>
    <w:rsid w:val="004C6477"/>
    <w:rsid w:val="004C6F5B"/>
    <w:rsid w:val="004C7132"/>
    <w:rsid w:val="004C71BB"/>
    <w:rsid w:val="004C725E"/>
    <w:rsid w:val="004C73AB"/>
    <w:rsid w:val="004C77BC"/>
    <w:rsid w:val="004D032D"/>
    <w:rsid w:val="004D03B3"/>
    <w:rsid w:val="004D05E3"/>
    <w:rsid w:val="004D0729"/>
    <w:rsid w:val="004D07D8"/>
    <w:rsid w:val="004D10AE"/>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5BE"/>
    <w:rsid w:val="004E0BF6"/>
    <w:rsid w:val="004E0D9C"/>
    <w:rsid w:val="004E10C4"/>
    <w:rsid w:val="004E1BC0"/>
    <w:rsid w:val="004E27F8"/>
    <w:rsid w:val="004E2860"/>
    <w:rsid w:val="004E290B"/>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C0B"/>
    <w:rsid w:val="004F1DD7"/>
    <w:rsid w:val="004F266B"/>
    <w:rsid w:val="004F2CF9"/>
    <w:rsid w:val="004F3163"/>
    <w:rsid w:val="004F3E76"/>
    <w:rsid w:val="004F4097"/>
    <w:rsid w:val="004F4B8F"/>
    <w:rsid w:val="004F5901"/>
    <w:rsid w:val="004F59D0"/>
    <w:rsid w:val="004F5B1F"/>
    <w:rsid w:val="004F644E"/>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579E"/>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3AF7"/>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31EF"/>
    <w:rsid w:val="00553541"/>
    <w:rsid w:val="0055408C"/>
    <w:rsid w:val="00555289"/>
    <w:rsid w:val="00555AEF"/>
    <w:rsid w:val="00556504"/>
    <w:rsid w:val="00556B5A"/>
    <w:rsid w:val="00556DFE"/>
    <w:rsid w:val="0055788E"/>
    <w:rsid w:val="00557BE8"/>
    <w:rsid w:val="00560452"/>
    <w:rsid w:val="00560838"/>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8D1"/>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425"/>
    <w:rsid w:val="00582B82"/>
    <w:rsid w:val="00582DBD"/>
    <w:rsid w:val="00582EF6"/>
    <w:rsid w:val="00583416"/>
    <w:rsid w:val="00583464"/>
    <w:rsid w:val="00583A9B"/>
    <w:rsid w:val="00585D80"/>
    <w:rsid w:val="00586A60"/>
    <w:rsid w:val="00586C42"/>
    <w:rsid w:val="0058774E"/>
    <w:rsid w:val="00587847"/>
    <w:rsid w:val="00587868"/>
    <w:rsid w:val="00587E0C"/>
    <w:rsid w:val="00590ACD"/>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DB"/>
    <w:rsid w:val="005B1C58"/>
    <w:rsid w:val="005B22A4"/>
    <w:rsid w:val="005B2A88"/>
    <w:rsid w:val="005B342A"/>
    <w:rsid w:val="005B37AA"/>
    <w:rsid w:val="005B3BE2"/>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2CD7"/>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75A8"/>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396"/>
    <w:rsid w:val="005F1569"/>
    <w:rsid w:val="005F1684"/>
    <w:rsid w:val="005F186F"/>
    <w:rsid w:val="005F2A09"/>
    <w:rsid w:val="005F32FD"/>
    <w:rsid w:val="005F354D"/>
    <w:rsid w:val="005F41E6"/>
    <w:rsid w:val="005F48E7"/>
    <w:rsid w:val="005F5C60"/>
    <w:rsid w:val="005F5D4D"/>
    <w:rsid w:val="005F65D7"/>
    <w:rsid w:val="005F6F37"/>
    <w:rsid w:val="005F7277"/>
    <w:rsid w:val="005F7BA5"/>
    <w:rsid w:val="0060015E"/>
    <w:rsid w:val="00600FF2"/>
    <w:rsid w:val="0060107B"/>
    <w:rsid w:val="006015B7"/>
    <w:rsid w:val="00601744"/>
    <w:rsid w:val="00601EEB"/>
    <w:rsid w:val="00602B29"/>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353"/>
    <w:rsid w:val="00640F67"/>
    <w:rsid w:val="0064124F"/>
    <w:rsid w:val="00641AB6"/>
    <w:rsid w:val="00642173"/>
    <w:rsid w:val="00642440"/>
    <w:rsid w:val="00642997"/>
    <w:rsid w:val="00642BFD"/>
    <w:rsid w:val="006436D0"/>
    <w:rsid w:val="00643E85"/>
    <w:rsid w:val="00643F7D"/>
    <w:rsid w:val="00643FB8"/>
    <w:rsid w:val="006453A3"/>
    <w:rsid w:val="00645BC8"/>
    <w:rsid w:val="00645DD3"/>
    <w:rsid w:val="0064650B"/>
    <w:rsid w:val="00646B2F"/>
    <w:rsid w:val="00646FF5"/>
    <w:rsid w:val="00647055"/>
    <w:rsid w:val="00647CD3"/>
    <w:rsid w:val="0065022E"/>
    <w:rsid w:val="0065047A"/>
    <w:rsid w:val="006510E7"/>
    <w:rsid w:val="0065133E"/>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2C3"/>
    <w:rsid w:val="006D133B"/>
    <w:rsid w:val="006D150F"/>
    <w:rsid w:val="006D2028"/>
    <w:rsid w:val="006D2762"/>
    <w:rsid w:val="006D2A1D"/>
    <w:rsid w:val="006D32D2"/>
    <w:rsid w:val="006D33A7"/>
    <w:rsid w:val="006D3481"/>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BB8"/>
    <w:rsid w:val="0070066B"/>
    <w:rsid w:val="00701022"/>
    <w:rsid w:val="0070184D"/>
    <w:rsid w:val="00701ADD"/>
    <w:rsid w:val="00701DDF"/>
    <w:rsid w:val="00702247"/>
    <w:rsid w:val="007033F1"/>
    <w:rsid w:val="00704CBD"/>
    <w:rsid w:val="00705148"/>
    <w:rsid w:val="0070597A"/>
    <w:rsid w:val="007059E9"/>
    <w:rsid w:val="00705DC2"/>
    <w:rsid w:val="0070655B"/>
    <w:rsid w:val="00706FFC"/>
    <w:rsid w:val="00707536"/>
    <w:rsid w:val="00707A84"/>
    <w:rsid w:val="00707DE3"/>
    <w:rsid w:val="00710292"/>
    <w:rsid w:val="00714054"/>
    <w:rsid w:val="00714083"/>
    <w:rsid w:val="007157B2"/>
    <w:rsid w:val="00716097"/>
    <w:rsid w:val="00716559"/>
    <w:rsid w:val="00716825"/>
    <w:rsid w:val="00720287"/>
    <w:rsid w:val="007205F0"/>
    <w:rsid w:val="00720A0D"/>
    <w:rsid w:val="0072127E"/>
    <w:rsid w:val="007215B3"/>
    <w:rsid w:val="0072271B"/>
    <w:rsid w:val="007237D7"/>
    <w:rsid w:val="00723C90"/>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D8E"/>
    <w:rsid w:val="00732F1C"/>
    <w:rsid w:val="00733153"/>
    <w:rsid w:val="0073339B"/>
    <w:rsid w:val="00733B22"/>
    <w:rsid w:val="00733FF7"/>
    <w:rsid w:val="007356DE"/>
    <w:rsid w:val="00735C72"/>
    <w:rsid w:val="007367CA"/>
    <w:rsid w:val="00736C6D"/>
    <w:rsid w:val="007377B5"/>
    <w:rsid w:val="00737C0A"/>
    <w:rsid w:val="00740187"/>
    <w:rsid w:val="0074160D"/>
    <w:rsid w:val="00741C58"/>
    <w:rsid w:val="00741C5E"/>
    <w:rsid w:val="00741CDA"/>
    <w:rsid w:val="00743262"/>
    <w:rsid w:val="00744153"/>
    <w:rsid w:val="007444BF"/>
    <w:rsid w:val="007444FA"/>
    <w:rsid w:val="007445E4"/>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5123"/>
    <w:rsid w:val="00775850"/>
    <w:rsid w:val="00776534"/>
    <w:rsid w:val="007768AE"/>
    <w:rsid w:val="00776F7B"/>
    <w:rsid w:val="00777322"/>
    <w:rsid w:val="00777B5D"/>
    <w:rsid w:val="00777C1D"/>
    <w:rsid w:val="00777E1B"/>
    <w:rsid w:val="007806AE"/>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543C"/>
    <w:rsid w:val="00795707"/>
    <w:rsid w:val="007958A2"/>
    <w:rsid w:val="00795A32"/>
    <w:rsid w:val="00795C4E"/>
    <w:rsid w:val="007970DC"/>
    <w:rsid w:val="00797438"/>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D57"/>
    <w:rsid w:val="007D1D33"/>
    <w:rsid w:val="007D2628"/>
    <w:rsid w:val="007D2656"/>
    <w:rsid w:val="007D27C9"/>
    <w:rsid w:val="007D2C1F"/>
    <w:rsid w:val="007D2D2D"/>
    <w:rsid w:val="007D36AB"/>
    <w:rsid w:val="007D3809"/>
    <w:rsid w:val="007D3ABD"/>
    <w:rsid w:val="007D3E32"/>
    <w:rsid w:val="007D3F81"/>
    <w:rsid w:val="007D45FE"/>
    <w:rsid w:val="007D4823"/>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10A80"/>
    <w:rsid w:val="00811009"/>
    <w:rsid w:val="00812CAB"/>
    <w:rsid w:val="00812D0A"/>
    <w:rsid w:val="00813405"/>
    <w:rsid w:val="0081357E"/>
    <w:rsid w:val="00813C9D"/>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2DAB"/>
    <w:rsid w:val="008632E4"/>
    <w:rsid w:val="008638FB"/>
    <w:rsid w:val="00864BA7"/>
    <w:rsid w:val="00864FA0"/>
    <w:rsid w:val="00864FD5"/>
    <w:rsid w:val="0086555C"/>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D1B"/>
    <w:rsid w:val="00876093"/>
    <w:rsid w:val="008774B2"/>
    <w:rsid w:val="0088119F"/>
    <w:rsid w:val="0088137B"/>
    <w:rsid w:val="008815C0"/>
    <w:rsid w:val="00882183"/>
    <w:rsid w:val="0088250C"/>
    <w:rsid w:val="008832BB"/>
    <w:rsid w:val="00883477"/>
    <w:rsid w:val="0088418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D0A"/>
    <w:rsid w:val="0089751D"/>
    <w:rsid w:val="00897A46"/>
    <w:rsid w:val="00897F8F"/>
    <w:rsid w:val="008A0126"/>
    <w:rsid w:val="008A01B8"/>
    <w:rsid w:val="008A07C5"/>
    <w:rsid w:val="008A0954"/>
    <w:rsid w:val="008A0D61"/>
    <w:rsid w:val="008A241B"/>
    <w:rsid w:val="008A2A96"/>
    <w:rsid w:val="008A30FA"/>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AD5"/>
    <w:rsid w:val="008B3E6B"/>
    <w:rsid w:val="008B4A88"/>
    <w:rsid w:val="008B5768"/>
    <w:rsid w:val="008B591C"/>
    <w:rsid w:val="008B5B1F"/>
    <w:rsid w:val="008B5F93"/>
    <w:rsid w:val="008B5FD5"/>
    <w:rsid w:val="008B6022"/>
    <w:rsid w:val="008B63BB"/>
    <w:rsid w:val="008B65E7"/>
    <w:rsid w:val="008B6948"/>
    <w:rsid w:val="008B6DA0"/>
    <w:rsid w:val="008B6E0E"/>
    <w:rsid w:val="008B6FAF"/>
    <w:rsid w:val="008B71AE"/>
    <w:rsid w:val="008B761D"/>
    <w:rsid w:val="008B7D5A"/>
    <w:rsid w:val="008C0190"/>
    <w:rsid w:val="008C01FF"/>
    <w:rsid w:val="008C0A9D"/>
    <w:rsid w:val="008C17E1"/>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210"/>
    <w:rsid w:val="008D2745"/>
    <w:rsid w:val="008D2A84"/>
    <w:rsid w:val="008D3F97"/>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900473"/>
    <w:rsid w:val="009005B3"/>
    <w:rsid w:val="00900ED9"/>
    <w:rsid w:val="009013F6"/>
    <w:rsid w:val="00901880"/>
    <w:rsid w:val="009018CE"/>
    <w:rsid w:val="00901BEE"/>
    <w:rsid w:val="00901D16"/>
    <w:rsid w:val="00901EB2"/>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4FC"/>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03A"/>
    <w:rsid w:val="009667F1"/>
    <w:rsid w:val="009668D3"/>
    <w:rsid w:val="009670C2"/>
    <w:rsid w:val="00970100"/>
    <w:rsid w:val="0097040B"/>
    <w:rsid w:val="0097088C"/>
    <w:rsid w:val="00972177"/>
    <w:rsid w:val="00973222"/>
    <w:rsid w:val="009737A3"/>
    <w:rsid w:val="00973DF4"/>
    <w:rsid w:val="00974624"/>
    <w:rsid w:val="00975087"/>
    <w:rsid w:val="0097574B"/>
    <w:rsid w:val="00975C59"/>
    <w:rsid w:val="00975DEE"/>
    <w:rsid w:val="00976215"/>
    <w:rsid w:val="00976309"/>
    <w:rsid w:val="00976487"/>
    <w:rsid w:val="0097700C"/>
    <w:rsid w:val="009773D6"/>
    <w:rsid w:val="00977A8A"/>
    <w:rsid w:val="00977C0C"/>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1E1"/>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746"/>
    <w:rsid w:val="009E59F4"/>
    <w:rsid w:val="009E5C5E"/>
    <w:rsid w:val="009E5D79"/>
    <w:rsid w:val="009E7266"/>
    <w:rsid w:val="009E7D74"/>
    <w:rsid w:val="009F0190"/>
    <w:rsid w:val="009F047C"/>
    <w:rsid w:val="009F0F0E"/>
    <w:rsid w:val="009F1217"/>
    <w:rsid w:val="009F1D5A"/>
    <w:rsid w:val="009F1DEF"/>
    <w:rsid w:val="009F2418"/>
    <w:rsid w:val="009F2588"/>
    <w:rsid w:val="009F26DE"/>
    <w:rsid w:val="009F36C5"/>
    <w:rsid w:val="009F3CE4"/>
    <w:rsid w:val="009F3D5F"/>
    <w:rsid w:val="009F51A2"/>
    <w:rsid w:val="009F5C1C"/>
    <w:rsid w:val="009F5F4C"/>
    <w:rsid w:val="009F6D94"/>
    <w:rsid w:val="009F7480"/>
    <w:rsid w:val="009F7689"/>
    <w:rsid w:val="00A00170"/>
    <w:rsid w:val="00A00BB2"/>
    <w:rsid w:val="00A013B0"/>
    <w:rsid w:val="00A017CD"/>
    <w:rsid w:val="00A01E51"/>
    <w:rsid w:val="00A04494"/>
    <w:rsid w:val="00A04EC8"/>
    <w:rsid w:val="00A0546E"/>
    <w:rsid w:val="00A0551C"/>
    <w:rsid w:val="00A05BB8"/>
    <w:rsid w:val="00A05DE8"/>
    <w:rsid w:val="00A06295"/>
    <w:rsid w:val="00A06427"/>
    <w:rsid w:val="00A07156"/>
    <w:rsid w:val="00A076BA"/>
    <w:rsid w:val="00A07749"/>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1BDB"/>
    <w:rsid w:val="00A22977"/>
    <w:rsid w:val="00A229E4"/>
    <w:rsid w:val="00A232E0"/>
    <w:rsid w:val="00A234D4"/>
    <w:rsid w:val="00A23A82"/>
    <w:rsid w:val="00A241F9"/>
    <w:rsid w:val="00A24437"/>
    <w:rsid w:val="00A252B6"/>
    <w:rsid w:val="00A25FFF"/>
    <w:rsid w:val="00A2607B"/>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23"/>
    <w:rsid w:val="00A54141"/>
    <w:rsid w:val="00A541FD"/>
    <w:rsid w:val="00A54589"/>
    <w:rsid w:val="00A54811"/>
    <w:rsid w:val="00A54BD8"/>
    <w:rsid w:val="00A54CB9"/>
    <w:rsid w:val="00A551E5"/>
    <w:rsid w:val="00A55987"/>
    <w:rsid w:val="00A560B3"/>
    <w:rsid w:val="00A56340"/>
    <w:rsid w:val="00A565AC"/>
    <w:rsid w:val="00A57688"/>
    <w:rsid w:val="00A57980"/>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601"/>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3EDF"/>
    <w:rsid w:val="00AA4239"/>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B80"/>
    <w:rsid w:val="00AD0A32"/>
    <w:rsid w:val="00AD1442"/>
    <w:rsid w:val="00AD14AB"/>
    <w:rsid w:val="00AD1B73"/>
    <w:rsid w:val="00AD20ED"/>
    <w:rsid w:val="00AD20FA"/>
    <w:rsid w:val="00AD2CBD"/>
    <w:rsid w:val="00AD2DAA"/>
    <w:rsid w:val="00AD2DED"/>
    <w:rsid w:val="00AD2F04"/>
    <w:rsid w:val="00AD2FE7"/>
    <w:rsid w:val="00AD306F"/>
    <w:rsid w:val="00AD30DD"/>
    <w:rsid w:val="00AD39EF"/>
    <w:rsid w:val="00AD3BC2"/>
    <w:rsid w:val="00AD4264"/>
    <w:rsid w:val="00AD4434"/>
    <w:rsid w:val="00AD53AA"/>
    <w:rsid w:val="00AD58B8"/>
    <w:rsid w:val="00AD6258"/>
    <w:rsid w:val="00AD72BC"/>
    <w:rsid w:val="00AD79BF"/>
    <w:rsid w:val="00AD7C84"/>
    <w:rsid w:val="00AE03CE"/>
    <w:rsid w:val="00AE07E1"/>
    <w:rsid w:val="00AE1170"/>
    <w:rsid w:val="00AE1D52"/>
    <w:rsid w:val="00AE2133"/>
    <w:rsid w:val="00AE2622"/>
    <w:rsid w:val="00AE43F4"/>
    <w:rsid w:val="00AE4550"/>
    <w:rsid w:val="00AE5099"/>
    <w:rsid w:val="00AE50D3"/>
    <w:rsid w:val="00AE56FD"/>
    <w:rsid w:val="00AE597B"/>
    <w:rsid w:val="00AE5A64"/>
    <w:rsid w:val="00AE606A"/>
    <w:rsid w:val="00AE7312"/>
    <w:rsid w:val="00AF013B"/>
    <w:rsid w:val="00AF0A66"/>
    <w:rsid w:val="00AF0B6C"/>
    <w:rsid w:val="00AF0CF8"/>
    <w:rsid w:val="00AF218F"/>
    <w:rsid w:val="00AF262C"/>
    <w:rsid w:val="00AF381C"/>
    <w:rsid w:val="00AF415A"/>
    <w:rsid w:val="00AF4288"/>
    <w:rsid w:val="00AF44F2"/>
    <w:rsid w:val="00AF4950"/>
    <w:rsid w:val="00AF53AB"/>
    <w:rsid w:val="00AF53BA"/>
    <w:rsid w:val="00AF69B4"/>
    <w:rsid w:val="00AF717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CD"/>
    <w:rsid w:val="00B0686C"/>
    <w:rsid w:val="00B06E97"/>
    <w:rsid w:val="00B077F2"/>
    <w:rsid w:val="00B102AD"/>
    <w:rsid w:val="00B10681"/>
    <w:rsid w:val="00B10B50"/>
    <w:rsid w:val="00B116D4"/>
    <w:rsid w:val="00B1238A"/>
    <w:rsid w:val="00B134E7"/>
    <w:rsid w:val="00B13A79"/>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5CC"/>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1014"/>
    <w:rsid w:val="00B41534"/>
    <w:rsid w:val="00B4154B"/>
    <w:rsid w:val="00B41784"/>
    <w:rsid w:val="00B42E68"/>
    <w:rsid w:val="00B43910"/>
    <w:rsid w:val="00B4420E"/>
    <w:rsid w:val="00B44DFC"/>
    <w:rsid w:val="00B45669"/>
    <w:rsid w:val="00B46554"/>
    <w:rsid w:val="00B466F0"/>
    <w:rsid w:val="00B467BB"/>
    <w:rsid w:val="00B47E3B"/>
    <w:rsid w:val="00B50892"/>
    <w:rsid w:val="00B511ED"/>
    <w:rsid w:val="00B51602"/>
    <w:rsid w:val="00B51F21"/>
    <w:rsid w:val="00B52540"/>
    <w:rsid w:val="00B5264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1F34"/>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AC7"/>
    <w:rsid w:val="00BA1434"/>
    <w:rsid w:val="00BA1EA2"/>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BA7"/>
    <w:rsid w:val="00BB0CA1"/>
    <w:rsid w:val="00BB0EAB"/>
    <w:rsid w:val="00BB0FEB"/>
    <w:rsid w:val="00BB133D"/>
    <w:rsid w:val="00BB1924"/>
    <w:rsid w:val="00BB222A"/>
    <w:rsid w:val="00BB2616"/>
    <w:rsid w:val="00BB26EB"/>
    <w:rsid w:val="00BB2C15"/>
    <w:rsid w:val="00BB2FDC"/>
    <w:rsid w:val="00BB37AA"/>
    <w:rsid w:val="00BB3C8A"/>
    <w:rsid w:val="00BB4049"/>
    <w:rsid w:val="00BB488C"/>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ACB"/>
    <w:rsid w:val="00BE3013"/>
    <w:rsid w:val="00BE367D"/>
    <w:rsid w:val="00BE3CB6"/>
    <w:rsid w:val="00BE4035"/>
    <w:rsid w:val="00BE4239"/>
    <w:rsid w:val="00BE4A58"/>
    <w:rsid w:val="00BE4B70"/>
    <w:rsid w:val="00BE4C67"/>
    <w:rsid w:val="00BE5120"/>
    <w:rsid w:val="00BE5756"/>
    <w:rsid w:val="00BE576D"/>
    <w:rsid w:val="00BE59E5"/>
    <w:rsid w:val="00BE64BF"/>
    <w:rsid w:val="00BE654A"/>
    <w:rsid w:val="00BE6653"/>
    <w:rsid w:val="00BE6B77"/>
    <w:rsid w:val="00BE7783"/>
    <w:rsid w:val="00BE7B46"/>
    <w:rsid w:val="00BF02D4"/>
    <w:rsid w:val="00BF0724"/>
    <w:rsid w:val="00BF1101"/>
    <w:rsid w:val="00BF15B9"/>
    <w:rsid w:val="00BF1896"/>
    <w:rsid w:val="00BF324E"/>
    <w:rsid w:val="00BF329F"/>
    <w:rsid w:val="00BF3D79"/>
    <w:rsid w:val="00BF3DDC"/>
    <w:rsid w:val="00BF4038"/>
    <w:rsid w:val="00BF4674"/>
    <w:rsid w:val="00BF47B7"/>
    <w:rsid w:val="00BF5020"/>
    <w:rsid w:val="00BF50F2"/>
    <w:rsid w:val="00BF521F"/>
    <w:rsid w:val="00BF55BA"/>
    <w:rsid w:val="00BF58F2"/>
    <w:rsid w:val="00BF590D"/>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234"/>
    <w:rsid w:val="00C14C9F"/>
    <w:rsid w:val="00C155CC"/>
    <w:rsid w:val="00C157E6"/>
    <w:rsid w:val="00C15941"/>
    <w:rsid w:val="00C15A4A"/>
    <w:rsid w:val="00C160D1"/>
    <w:rsid w:val="00C168BD"/>
    <w:rsid w:val="00C16E20"/>
    <w:rsid w:val="00C16F02"/>
    <w:rsid w:val="00C170CD"/>
    <w:rsid w:val="00C1762F"/>
    <w:rsid w:val="00C2047B"/>
    <w:rsid w:val="00C205B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701E"/>
    <w:rsid w:val="00C2748B"/>
    <w:rsid w:val="00C27850"/>
    <w:rsid w:val="00C30824"/>
    <w:rsid w:val="00C30AA8"/>
    <w:rsid w:val="00C30F87"/>
    <w:rsid w:val="00C31BF8"/>
    <w:rsid w:val="00C3273C"/>
    <w:rsid w:val="00C3307F"/>
    <w:rsid w:val="00C33F77"/>
    <w:rsid w:val="00C348FF"/>
    <w:rsid w:val="00C34CC3"/>
    <w:rsid w:val="00C34D2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5170"/>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633"/>
    <w:rsid w:val="00C62D67"/>
    <w:rsid w:val="00C633BA"/>
    <w:rsid w:val="00C6356B"/>
    <w:rsid w:val="00C652E2"/>
    <w:rsid w:val="00C653FB"/>
    <w:rsid w:val="00C65CBF"/>
    <w:rsid w:val="00C66375"/>
    <w:rsid w:val="00C667D0"/>
    <w:rsid w:val="00C66998"/>
    <w:rsid w:val="00C66AD7"/>
    <w:rsid w:val="00C66E3C"/>
    <w:rsid w:val="00C67EA5"/>
    <w:rsid w:val="00C70107"/>
    <w:rsid w:val="00C70D5B"/>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85E"/>
    <w:rsid w:val="00C82F2D"/>
    <w:rsid w:val="00C83260"/>
    <w:rsid w:val="00C836F0"/>
    <w:rsid w:val="00C8398B"/>
    <w:rsid w:val="00C84318"/>
    <w:rsid w:val="00C848B7"/>
    <w:rsid w:val="00C84F41"/>
    <w:rsid w:val="00C856BE"/>
    <w:rsid w:val="00C85F2C"/>
    <w:rsid w:val="00C86485"/>
    <w:rsid w:val="00C8734C"/>
    <w:rsid w:val="00C87388"/>
    <w:rsid w:val="00C87A9E"/>
    <w:rsid w:val="00C90072"/>
    <w:rsid w:val="00C9073F"/>
    <w:rsid w:val="00C91633"/>
    <w:rsid w:val="00C9382C"/>
    <w:rsid w:val="00C94C71"/>
    <w:rsid w:val="00C94F15"/>
    <w:rsid w:val="00C954BD"/>
    <w:rsid w:val="00C95615"/>
    <w:rsid w:val="00C97517"/>
    <w:rsid w:val="00C97CC0"/>
    <w:rsid w:val="00C97D75"/>
    <w:rsid w:val="00CA0261"/>
    <w:rsid w:val="00CA04BA"/>
    <w:rsid w:val="00CA136D"/>
    <w:rsid w:val="00CA147B"/>
    <w:rsid w:val="00CA1DF5"/>
    <w:rsid w:val="00CA2400"/>
    <w:rsid w:val="00CA24A1"/>
    <w:rsid w:val="00CA27F3"/>
    <w:rsid w:val="00CA2D7A"/>
    <w:rsid w:val="00CA41B5"/>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1CF"/>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76"/>
    <w:rsid w:val="00CD45B9"/>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270"/>
    <w:rsid w:val="00D11712"/>
    <w:rsid w:val="00D11EC0"/>
    <w:rsid w:val="00D120D2"/>
    <w:rsid w:val="00D1312B"/>
    <w:rsid w:val="00D13294"/>
    <w:rsid w:val="00D13A91"/>
    <w:rsid w:val="00D13CB3"/>
    <w:rsid w:val="00D14D12"/>
    <w:rsid w:val="00D171C8"/>
    <w:rsid w:val="00D20137"/>
    <w:rsid w:val="00D208E6"/>
    <w:rsid w:val="00D2190E"/>
    <w:rsid w:val="00D21A55"/>
    <w:rsid w:val="00D22651"/>
    <w:rsid w:val="00D23AD0"/>
    <w:rsid w:val="00D23B0A"/>
    <w:rsid w:val="00D23E23"/>
    <w:rsid w:val="00D24239"/>
    <w:rsid w:val="00D24BAF"/>
    <w:rsid w:val="00D24C26"/>
    <w:rsid w:val="00D24FDD"/>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777F"/>
    <w:rsid w:val="00D478D3"/>
    <w:rsid w:val="00D5062B"/>
    <w:rsid w:val="00D50B46"/>
    <w:rsid w:val="00D512DF"/>
    <w:rsid w:val="00D51867"/>
    <w:rsid w:val="00D519DD"/>
    <w:rsid w:val="00D51AD4"/>
    <w:rsid w:val="00D53414"/>
    <w:rsid w:val="00D540CD"/>
    <w:rsid w:val="00D54B76"/>
    <w:rsid w:val="00D54E08"/>
    <w:rsid w:val="00D5508A"/>
    <w:rsid w:val="00D55828"/>
    <w:rsid w:val="00D55C1D"/>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D40"/>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2D5"/>
    <w:rsid w:val="00DE2C73"/>
    <w:rsid w:val="00DE3136"/>
    <w:rsid w:val="00DE338D"/>
    <w:rsid w:val="00DE39F4"/>
    <w:rsid w:val="00DE39F8"/>
    <w:rsid w:val="00DE3A27"/>
    <w:rsid w:val="00DE3A6B"/>
    <w:rsid w:val="00DE3C7D"/>
    <w:rsid w:val="00DE4965"/>
    <w:rsid w:val="00DE4C52"/>
    <w:rsid w:val="00DE4EA8"/>
    <w:rsid w:val="00DE50FD"/>
    <w:rsid w:val="00DE5854"/>
    <w:rsid w:val="00DE587D"/>
    <w:rsid w:val="00DE5C42"/>
    <w:rsid w:val="00DE5CC8"/>
    <w:rsid w:val="00DE6805"/>
    <w:rsid w:val="00DE7807"/>
    <w:rsid w:val="00DE7C25"/>
    <w:rsid w:val="00DE7CDF"/>
    <w:rsid w:val="00DF0CCC"/>
    <w:rsid w:val="00DF0D0A"/>
    <w:rsid w:val="00DF1211"/>
    <w:rsid w:val="00DF1385"/>
    <w:rsid w:val="00DF1FB9"/>
    <w:rsid w:val="00DF2469"/>
    <w:rsid w:val="00DF2EB3"/>
    <w:rsid w:val="00DF316E"/>
    <w:rsid w:val="00DF3626"/>
    <w:rsid w:val="00DF3FC2"/>
    <w:rsid w:val="00DF586E"/>
    <w:rsid w:val="00DF58E5"/>
    <w:rsid w:val="00DF7634"/>
    <w:rsid w:val="00DF79E1"/>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FAA"/>
    <w:rsid w:val="00E07AA2"/>
    <w:rsid w:val="00E1015B"/>
    <w:rsid w:val="00E106AE"/>
    <w:rsid w:val="00E10723"/>
    <w:rsid w:val="00E10E5A"/>
    <w:rsid w:val="00E11A5C"/>
    <w:rsid w:val="00E1223A"/>
    <w:rsid w:val="00E122A9"/>
    <w:rsid w:val="00E12ABE"/>
    <w:rsid w:val="00E1415F"/>
    <w:rsid w:val="00E15683"/>
    <w:rsid w:val="00E1603D"/>
    <w:rsid w:val="00E171AC"/>
    <w:rsid w:val="00E177C6"/>
    <w:rsid w:val="00E1784D"/>
    <w:rsid w:val="00E20A95"/>
    <w:rsid w:val="00E20E02"/>
    <w:rsid w:val="00E21806"/>
    <w:rsid w:val="00E21BD1"/>
    <w:rsid w:val="00E2282E"/>
    <w:rsid w:val="00E2294D"/>
    <w:rsid w:val="00E2297A"/>
    <w:rsid w:val="00E229C1"/>
    <w:rsid w:val="00E22C09"/>
    <w:rsid w:val="00E2339C"/>
    <w:rsid w:val="00E238C8"/>
    <w:rsid w:val="00E239E9"/>
    <w:rsid w:val="00E23FAE"/>
    <w:rsid w:val="00E25C75"/>
    <w:rsid w:val="00E26416"/>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4ED6"/>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489"/>
    <w:rsid w:val="00E777A5"/>
    <w:rsid w:val="00E77BF3"/>
    <w:rsid w:val="00E77E2D"/>
    <w:rsid w:val="00E77E32"/>
    <w:rsid w:val="00E800B4"/>
    <w:rsid w:val="00E809C8"/>
    <w:rsid w:val="00E80EE9"/>
    <w:rsid w:val="00E8173D"/>
    <w:rsid w:val="00E81907"/>
    <w:rsid w:val="00E81B11"/>
    <w:rsid w:val="00E81DA3"/>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C12"/>
    <w:rsid w:val="00E95DDA"/>
    <w:rsid w:val="00E972A2"/>
    <w:rsid w:val="00EA021F"/>
    <w:rsid w:val="00EA0243"/>
    <w:rsid w:val="00EA03AA"/>
    <w:rsid w:val="00EA0837"/>
    <w:rsid w:val="00EA0EF4"/>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5C2A"/>
    <w:rsid w:val="00EB686E"/>
    <w:rsid w:val="00EB6974"/>
    <w:rsid w:val="00EB6D6E"/>
    <w:rsid w:val="00EB7570"/>
    <w:rsid w:val="00EB76BD"/>
    <w:rsid w:val="00EC05A9"/>
    <w:rsid w:val="00EC07EF"/>
    <w:rsid w:val="00EC1FD3"/>
    <w:rsid w:val="00EC2103"/>
    <w:rsid w:val="00EC27C8"/>
    <w:rsid w:val="00EC2BE5"/>
    <w:rsid w:val="00EC2CCA"/>
    <w:rsid w:val="00EC2CE2"/>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660"/>
    <w:rsid w:val="00ED7D8F"/>
    <w:rsid w:val="00EE0B58"/>
    <w:rsid w:val="00EE1A53"/>
    <w:rsid w:val="00EE1BEE"/>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4FC5"/>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46B"/>
    <w:rsid w:val="00F43C32"/>
    <w:rsid w:val="00F44601"/>
    <w:rsid w:val="00F453B6"/>
    <w:rsid w:val="00F4568C"/>
    <w:rsid w:val="00F45854"/>
    <w:rsid w:val="00F45D0C"/>
    <w:rsid w:val="00F45F5F"/>
    <w:rsid w:val="00F468F2"/>
    <w:rsid w:val="00F4697F"/>
    <w:rsid w:val="00F46B56"/>
    <w:rsid w:val="00F46D54"/>
    <w:rsid w:val="00F50DC4"/>
    <w:rsid w:val="00F52353"/>
    <w:rsid w:val="00F52363"/>
    <w:rsid w:val="00F524C0"/>
    <w:rsid w:val="00F52A72"/>
    <w:rsid w:val="00F53548"/>
    <w:rsid w:val="00F54516"/>
    <w:rsid w:val="00F548BE"/>
    <w:rsid w:val="00F5528F"/>
    <w:rsid w:val="00F567D9"/>
    <w:rsid w:val="00F568B3"/>
    <w:rsid w:val="00F568CD"/>
    <w:rsid w:val="00F569C2"/>
    <w:rsid w:val="00F56AE4"/>
    <w:rsid w:val="00F57527"/>
    <w:rsid w:val="00F57C62"/>
    <w:rsid w:val="00F57FC5"/>
    <w:rsid w:val="00F6000C"/>
    <w:rsid w:val="00F61269"/>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C4E"/>
    <w:rsid w:val="00F73F4D"/>
    <w:rsid w:val="00F748DB"/>
    <w:rsid w:val="00F7494B"/>
    <w:rsid w:val="00F74B62"/>
    <w:rsid w:val="00F74E67"/>
    <w:rsid w:val="00F7509D"/>
    <w:rsid w:val="00F75BD6"/>
    <w:rsid w:val="00F76257"/>
    <w:rsid w:val="00F765FF"/>
    <w:rsid w:val="00F76B38"/>
    <w:rsid w:val="00F76DA5"/>
    <w:rsid w:val="00F76F1C"/>
    <w:rsid w:val="00F76FC2"/>
    <w:rsid w:val="00F770EF"/>
    <w:rsid w:val="00F775E1"/>
    <w:rsid w:val="00F77672"/>
    <w:rsid w:val="00F7791F"/>
    <w:rsid w:val="00F77BDA"/>
    <w:rsid w:val="00F77EC2"/>
    <w:rsid w:val="00F802E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4F0"/>
    <w:rsid w:val="00FC4A41"/>
    <w:rsid w:val="00FC5866"/>
    <w:rsid w:val="00FC5E6F"/>
    <w:rsid w:val="00FC7615"/>
    <w:rsid w:val="00FC7785"/>
    <w:rsid w:val="00FC7F4D"/>
    <w:rsid w:val="00FD058E"/>
    <w:rsid w:val="00FD05BC"/>
    <w:rsid w:val="00FD0E60"/>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266"/>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152277"/>
    <w:rsid w:val="01620567"/>
    <w:rsid w:val="0165767E"/>
    <w:rsid w:val="018F791C"/>
    <w:rsid w:val="019E41D1"/>
    <w:rsid w:val="01F0299B"/>
    <w:rsid w:val="02032892"/>
    <w:rsid w:val="023F752C"/>
    <w:rsid w:val="025E07E6"/>
    <w:rsid w:val="026E4F91"/>
    <w:rsid w:val="02AC5A72"/>
    <w:rsid w:val="02CF7A3A"/>
    <w:rsid w:val="02FC0FB3"/>
    <w:rsid w:val="034C4B78"/>
    <w:rsid w:val="036747C9"/>
    <w:rsid w:val="03722E49"/>
    <w:rsid w:val="03B53475"/>
    <w:rsid w:val="03C77F9C"/>
    <w:rsid w:val="03DC5B7F"/>
    <w:rsid w:val="041D095D"/>
    <w:rsid w:val="04255095"/>
    <w:rsid w:val="04B5038C"/>
    <w:rsid w:val="0580501B"/>
    <w:rsid w:val="05C87DB9"/>
    <w:rsid w:val="05D23F68"/>
    <w:rsid w:val="05D9541A"/>
    <w:rsid w:val="060E7C8E"/>
    <w:rsid w:val="06BC08DA"/>
    <w:rsid w:val="07405BF8"/>
    <w:rsid w:val="0743590C"/>
    <w:rsid w:val="074C43CE"/>
    <w:rsid w:val="07FB2389"/>
    <w:rsid w:val="084B56D7"/>
    <w:rsid w:val="0854634A"/>
    <w:rsid w:val="094B3043"/>
    <w:rsid w:val="0961739E"/>
    <w:rsid w:val="098E6083"/>
    <w:rsid w:val="09F14841"/>
    <w:rsid w:val="0A0E0204"/>
    <w:rsid w:val="0A3C1740"/>
    <w:rsid w:val="0A6842D0"/>
    <w:rsid w:val="0A805200"/>
    <w:rsid w:val="0A877CCC"/>
    <w:rsid w:val="0AFB5253"/>
    <w:rsid w:val="0B205B2B"/>
    <w:rsid w:val="0B4D15AE"/>
    <w:rsid w:val="0B5F3275"/>
    <w:rsid w:val="0B782559"/>
    <w:rsid w:val="0C1266AB"/>
    <w:rsid w:val="0D391CC1"/>
    <w:rsid w:val="0D566BC9"/>
    <w:rsid w:val="0D8A700C"/>
    <w:rsid w:val="0DDD65E1"/>
    <w:rsid w:val="0DF76C3F"/>
    <w:rsid w:val="0E180322"/>
    <w:rsid w:val="0E550E35"/>
    <w:rsid w:val="0E677A9C"/>
    <w:rsid w:val="0E6A639F"/>
    <w:rsid w:val="0E8C4995"/>
    <w:rsid w:val="0EF27BFB"/>
    <w:rsid w:val="0F520C3E"/>
    <w:rsid w:val="0F7117D3"/>
    <w:rsid w:val="0F970089"/>
    <w:rsid w:val="0FBC50EF"/>
    <w:rsid w:val="0FD17421"/>
    <w:rsid w:val="102D3E47"/>
    <w:rsid w:val="10687BFB"/>
    <w:rsid w:val="110C4D04"/>
    <w:rsid w:val="115F3FD7"/>
    <w:rsid w:val="11746D37"/>
    <w:rsid w:val="11A259DD"/>
    <w:rsid w:val="11EB5548"/>
    <w:rsid w:val="11EC343E"/>
    <w:rsid w:val="120027E5"/>
    <w:rsid w:val="120474A0"/>
    <w:rsid w:val="12124122"/>
    <w:rsid w:val="12C83CE6"/>
    <w:rsid w:val="13102ABE"/>
    <w:rsid w:val="131175B6"/>
    <w:rsid w:val="13855EF2"/>
    <w:rsid w:val="143720BB"/>
    <w:rsid w:val="14E31122"/>
    <w:rsid w:val="153E6219"/>
    <w:rsid w:val="1557393C"/>
    <w:rsid w:val="15FF784E"/>
    <w:rsid w:val="162063B0"/>
    <w:rsid w:val="162352BF"/>
    <w:rsid w:val="1628599D"/>
    <w:rsid w:val="165329CF"/>
    <w:rsid w:val="167D280D"/>
    <w:rsid w:val="16883338"/>
    <w:rsid w:val="17020A52"/>
    <w:rsid w:val="17047766"/>
    <w:rsid w:val="1721288F"/>
    <w:rsid w:val="17554BDD"/>
    <w:rsid w:val="175D00C5"/>
    <w:rsid w:val="17935895"/>
    <w:rsid w:val="17CF5D1A"/>
    <w:rsid w:val="17DB4F81"/>
    <w:rsid w:val="17E24696"/>
    <w:rsid w:val="17F52C18"/>
    <w:rsid w:val="181E6542"/>
    <w:rsid w:val="184530EF"/>
    <w:rsid w:val="18C8042D"/>
    <w:rsid w:val="18F84CB3"/>
    <w:rsid w:val="19227A4B"/>
    <w:rsid w:val="19C94D95"/>
    <w:rsid w:val="1A134637"/>
    <w:rsid w:val="1B082810"/>
    <w:rsid w:val="1B3E182A"/>
    <w:rsid w:val="1B4B5195"/>
    <w:rsid w:val="1B4F4997"/>
    <w:rsid w:val="1BE340FE"/>
    <w:rsid w:val="1C17211D"/>
    <w:rsid w:val="1C174C6F"/>
    <w:rsid w:val="1C667BA4"/>
    <w:rsid w:val="1C7C020D"/>
    <w:rsid w:val="1C8F78BA"/>
    <w:rsid w:val="1C9B0D84"/>
    <w:rsid w:val="1CC92464"/>
    <w:rsid w:val="1CCF022A"/>
    <w:rsid w:val="1CDD3F3B"/>
    <w:rsid w:val="1CE3451B"/>
    <w:rsid w:val="1D3B1D8C"/>
    <w:rsid w:val="1D46626F"/>
    <w:rsid w:val="1D4D6869"/>
    <w:rsid w:val="1D8769C5"/>
    <w:rsid w:val="1DDC6C6F"/>
    <w:rsid w:val="1E0E10F1"/>
    <w:rsid w:val="1E33024D"/>
    <w:rsid w:val="1E706519"/>
    <w:rsid w:val="1ED1321D"/>
    <w:rsid w:val="1EDC4DE7"/>
    <w:rsid w:val="1EEC7A2E"/>
    <w:rsid w:val="1F1C44F9"/>
    <w:rsid w:val="1F662618"/>
    <w:rsid w:val="1FA61BCC"/>
    <w:rsid w:val="1FD2584A"/>
    <w:rsid w:val="20132934"/>
    <w:rsid w:val="20546D47"/>
    <w:rsid w:val="20A976C4"/>
    <w:rsid w:val="20CD63B7"/>
    <w:rsid w:val="20F34D37"/>
    <w:rsid w:val="213479B7"/>
    <w:rsid w:val="21416F7B"/>
    <w:rsid w:val="21760101"/>
    <w:rsid w:val="22237C75"/>
    <w:rsid w:val="22B25284"/>
    <w:rsid w:val="22C07D9F"/>
    <w:rsid w:val="22ED32DA"/>
    <w:rsid w:val="23056CBA"/>
    <w:rsid w:val="234C1E42"/>
    <w:rsid w:val="23C6059E"/>
    <w:rsid w:val="23C95079"/>
    <w:rsid w:val="23EE7D7C"/>
    <w:rsid w:val="24031A53"/>
    <w:rsid w:val="24307C26"/>
    <w:rsid w:val="24452698"/>
    <w:rsid w:val="246B510F"/>
    <w:rsid w:val="248E5D4C"/>
    <w:rsid w:val="24C47897"/>
    <w:rsid w:val="24CD67BC"/>
    <w:rsid w:val="24E337F8"/>
    <w:rsid w:val="252E63EA"/>
    <w:rsid w:val="258D3B57"/>
    <w:rsid w:val="25BA717A"/>
    <w:rsid w:val="26192901"/>
    <w:rsid w:val="262336EE"/>
    <w:rsid w:val="26691012"/>
    <w:rsid w:val="269E4C0C"/>
    <w:rsid w:val="26C62652"/>
    <w:rsid w:val="26E52AD8"/>
    <w:rsid w:val="27024D1A"/>
    <w:rsid w:val="274D70F1"/>
    <w:rsid w:val="27C11201"/>
    <w:rsid w:val="287B45D6"/>
    <w:rsid w:val="288272C3"/>
    <w:rsid w:val="28A12BA7"/>
    <w:rsid w:val="28DF5397"/>
    <w:rsid w:val="28F14A5B"/>
    <w:rsid w:val="29BC2E23"/>
    <w:rsid w:val="29ED63C4"/>
    <w:rsid w:val="2A1C01F6"/>
    <w:rsid w:val="2A3F1F36"/>
    <w:rsid w:val="2A4A36B6"/>
    <w:rsid w:val="2AD85037"/>
    <w:rsid w:val="2AEB6DA2"/>
    <w:rsid w:val="2B012083"/>
    <w:rsid w:val="2B3446EF"/>
    <w:rsid w:val="2BBF4861"/>
    <w:rsid w:val="2BD0253B"/>
    <w:rsid w:val="2BFA5606"/>
    <w:rsid w:val="2C444480"/>
    <w:rsid w:val="2C564DC3"/>
    <w:rsid w:val="2CA6636F"/>
    <w:rsid w:val="2D3922C2"/>
    <w:rsid w:val="2D487949"/>
    <w:rsid w:val="2D6C141D"/>
    <w:rsid w:val="2D6D7024"/>
    <w:rsid w:val="2E383EF0"/>
    <w:rsid w:val="2EB64B4B"/>
    <w:rsid w:val="2EDB590A"/>
    <w:rsid w:val="2F0A29E3"/>
    <w:rsid w:val="2F827A5E"/>
    <w:rsid w:val="30731155"/>
    <w:rsid w:val="30817D6A"/>
    <w:rsid w:val="30A45A06"/>
    <w:rsid w:val="3157114E"/>
    <w:rsid w:val="31F2037F"/>
    <w:rsid w:val="32055443"/>
    <w:rsid w:val="3295070B"/>
    <w:rsid w:val="329B11F6"/>
    <w:rsid w:val="32AE5C4A"/>
    <w:rsid w:val="3326028E"/>
    <w:rsid w:val="33527635"/>
    <w:rsid w:val="336E087E"/>
    <w:rsid w:val="338E3084"/>
    <w:rsid w:val="33C3087D"/>
    <w:rsid w:val="33C54835"/>
    <w:rsid w:val="34173BB9"/>
    <w:rsid w:val="345F7D71"/>
    <w:rsid w:val="34CE1EC2"/>
    <w:rsid w:val="35006E1E"/>
    <w:rsid w:val="350B5B67"/>
    <w:rsid w:val="357F5113"/>
    <w:rsid w:val="35961B12"/>
    <w:rsid w:val="35C230C0"/>
    <w:rsid w:val="363F282B"/>
    <w:rsid w:val="364523AD"/>
    <w:rsid w:val="36700D38"/>
    <w:rsid w:val="36C4673D"/>
    <w:rsid w:val="37106046"/>
    <w:rsid w:val="37923910"/>
    <w:rsid w:val="379F24CF"/>
    <w:rsid w:val="37B10B63"/>
    <w:rsid w:val="37D17C49"/>
    <w:rsid w:val="38523F10"/>
    <w:rsid w:val="385D0C53"/>
    <w:rsid w:val="38F127A1"/>
    <w:rsid w:val="390721D7"/>
    <w:rsid w:val="393B510C"/>
    <w:rsid w:val="393F4767"/>
    <w:rsid w:val="39726DA3"/>
    <w:rsid w:val="39A97E97"/>
    <w:rsid w:val="39AA39B9"/>
    <w:rsid w:val="39B2427B"/>
    <w:rsid w:val="3A260C29"/>
    <w:rsid w:val="3A53357E"/>
    <w:rsid w:val="3AB3297E"/>
    <w:rsid w:val="3B57268D"/>
    <w:rsid w:val="3B6176CE"/>
    <w:rsid w:val="3B777C77"/>
    <w:rsid w:val="3B7975D9"/>
    <w:rsid w:val="3BF9504C"/>
    <w:rsid w:val="3C232FB8"/>
    <w:rsid w:val="3C730C2B"/>
    <w:rsid w:val="3CF11603"/>
    <w:rsid w:val="3D5F5CBB"/>
    <w:rsid w:val="3D6F4D41"/>
    <w:rsid w:val="3D7507FB"/>
    <w:rsid w:val="3E840ADF"/>
    <w:rsid w:val="3E88457C"/>
    <w:rsid w:val="3EB5127A"/>
    <w:rsid w:val="3F0423A3"/>
    <w:rsid w:val="3F047CA6"/>
    <w:rsid w:val="3F503E5E"/>
    <w:rsid w:val="3F754885"/>
    <w:rsid w:val="3F8445DD"/>
    <w:rsid w:val="3FC16214"/>
    <w:rsid w:val="3FF05BE1"/>
    <w:rsid w:val="3FF91F54"/>
    <w:rsid w:val="40B32A84"/>
    <w:rsid w:val="40E36A32"/>
    <w:rsid w:val="41576FF8"/>
    <w:rsid w:val="4160360B"/>
    <w:rsid w:val="41745031"/>
    <w:rsid w:val="417D3A72"/>
    <w:rsid w:val="41B52D6B"/>
    <w:rsid w:val="41D9164E"/>
    <w:rsid w:val="41DD521D"/>
    <w:rsid w:val="423B7022"/>
    <w:rsid w:val="4263412C"/>
    <w:rsid w:val="427772F6"/>
    <w:rsid w:val="42C31722"/>
    <w:rsid w:val="43255C43"/>
    <w:rsid w:val="4389060E"/>
    <w:rsid w:val="439054CA"/>
    <w:rsid w:val="439B38C5"/>
    <w:rsid w:val="43C8028A"/>
    <w:rsid w:val="43D51667"/>
    <w:rsid w:val="43D843FE"/>
    <w:rsid w:val="43F85671"/>
    <w:rsid w:val="44055DFB"/>
    <w:rsid w:val="443B2C25"/>
    <w:rsid w:val="4472694D"/>
    <w:rsid w:val="448421F1"/>
    <w:rsid w:val="455D1D2F"/>
    <w:rsid w:val="45B9400B"/>
    <w:rsid w:val="45D37D9B"/>
    <w:rsid w:val="45DD04A2"/>
    <w:rsid w:val="465D6DE0"/>
    <w:rsid w:val="4736261B"/>
    <w:rsid w:val="47863A0C"/>
    <w:rsid w:val="48194FD5"/>
    <w:rsid w:val="484514CB"/>
    <w:rsid w:val="48516103"/>
    <w:rsid w:val="48807487"/>
    <w:rsid w:val="48C86EE1"/>
    <w:rsid w:val="490A01A8"/>
    <w:rsid w:val="49221D8F"/>
    <w:rsid w:val="49C23539"/>
    <w:rsid w:val="49FA6EF8"/>
    <w:rsid w:val="4A0B5227"/>
    <w:rsid w:val="4A2568BE"/>
    <w:rsid w:val="4A443E36"/>
    <w:rsid w:val="4A784961"/>
    <w:rsid w:val="4A871F75"/>
    <w:rsid w:val="4A8A58BF"/>
    <w:rsid w:val="4A906890"/>
    <w:rsid w:val="4ACF3A3C"/>
    <w:rsid w:val="4B1700DF"/>
    <w:rsid w:val="4B2E03C9"/>
    <w:rsid w:val="4B3C4946"/>
    <w:rsid w:val="4B704635"/>
    <w:rsid w:val="4B932C2F"/>
    <w:rsid w:val="4C503359"/>
    <w:rsid w:val="4C676463"/>
    <w:rsid w:val="4D060528"/>
    <w:rsid w:val="4D5751AC"/>
    <w:rsid w:val="4E0144BC"/>
    <w:rsid w:val="4E35680A"/>
    <w:rsid w:val="4ED16DBE"/>
    <w:rsid w:val="4ED8583D"/>
    <w:rsid w:val="4F0F6A19"/>
    <w:rsid w:val="4F253309"/>
    <w:rsid w:val="4F6718F8"/>
    <w:rsid w:val="4F793165"/>
    <w:rsid w:val="4FD317B8"/>
    <w:rsid w:val="501A7542"/>
    <w:rsid w:val="509A2D56"/>
    <w:rsid w:val="50E23CCD"/>
    <w:rsid w:val="51013E51"/>
    <w:rsid w:val="511B6213"/>
    <w:rsid w:val="51501AF7"/>
    <w:rsid w:val="51D10A66"/>
    <w:rsid w:val="527F5846"/>
    <w:rsid w:val="528A390F"/>
    <w:rsid w:val="528C6991"/>
    <w:rsid w:val="53446786"/>
    <w:rsid w:val="53781E8A"/>
    <w:rsid w:val="54054633"/>
    <w:rsid w:val="540605E4"/>
    <w:rsid w:val="5435326E"/>
    <w:rsid w:val="547F0032"/>
    <w:rsid w:val="54A02A20"/>
    <w:rsid w:val="54AA3DF7"/>
    <w:rsid w:val="551C1275"/>
    <w:rsid w:val="554A6920"/>
    <w:rsid w:val="557805F0"/>
    <w:rsid w:val="55C87B3E"/>
    <w:rsid w:val="55D67651"/>
    <w:rsid w:val="562C5301"/>
    <w:rsid w:val="563B18D1"/>
    <w:rsid w:val="5641747C"/>
    <w:rsid w:val="565A50BD"/>
    <w:rsid w:val="56A42C52"/>
    <w:rsid w:val="56B714EC"/>
    <w:rsid w:val="56EB4837"/>
    <w:rsid w:val="57870254"/>
    <w:rsid w:val="58D67D8C"/>
    <w:rsid w:val="58E10577"/>
    <w:rsid w:val="59165EF7"/>
    <w:rsid w:val="591B3448"/>
    <w:rsid w:val="596D0335"/>
    <w:rsid w:val="59702A12"/>
    <w:rsid w:val="59AC76C9"/>
    <w:rsid w:val="59E9425F"/>
    <w:rsid w:val="5A221ED3"/>
    <w:rsid w:val="5A373899"/>
    <w:rsid w:val="5AA7535A"/>
    <w:rsid w:val="5AAE49FA"/>
    <w:rsid w:val="5ABA39DD"/>
    <w:rsid w:val="5ACA0D8D"/>
    <w:rsid w:val="5AED2A9C"/>
    <w:rsid w:val="5AF64117"/>
    <w:rsid w:val="5B0942E0"/>
    <w:rsid w:val="5BC746C9"/>
    <w:rsid w:val="5BCF07DD"/>
    <w:rsid w:val="5BDD1289"/>
    <w:rsid w:val="5CA816FA"/>
    <w:rsid w:val="5CC61F72"/>
    <w:rsid w:val="5CF206F7"/>
    <w:rsid w:val="5D6D7FF0"/>
    <w:rsid w:val="5D7F54EA"/>
    <w:rsid w:val="5D826049"/>
    <w:rsid w:val="5E0D40BF"/>
    <w:rsid w:val="5EA0340D"/>
    <w:rsid w:val="5EA12469"/>
    <w:rsid w:val="5ED66BCF"/>
    <w:rsid w:val="5ED66C3C"/>
    <w:rsid w:val="5F322057"/>
    <w:rsid w:val="5F574DB8"/>
    <w:rsid w:val="5F5F0972"/>
    <w:rsid w:val="5F6D12E1"/>
    <w:rsid w:val="5FBA669E"/>
    <w:rsid w:val="5FCD1D80"/>
    <w:rsid w:val="5FCF64C6"/>
    <w:rsid w:val="5FDD643B"/>
    <w:rsid w:val="600B1E01"/>
    <w:rsid w:val="60BA3E42"/>
    <w:rsid w:val="616959A4"/>
    <w:rsid w:val="6194383B"/>
    <w:rsid w:val="619B371E"/>
    <w:rsid w:val="61A14A39"/>
    <w:rsid w:val="61CB5375"/>
    <w:rsid w:val="61F93F23"/>
    <w:rsid w:val="623348CA"/>
    <w:rsid w:val="62342678"/>
    <w:rsid w:val="624F2E59"/>
    <w:rsid w:val="63352B18"/>
    <w:rsid w:val="649874CA"/>
    <w:rsid w:val="64C37BF6"/>
    <w:rsid w:val="64F85CFF"/>
    <w:rsid w:val="65CA685B"/>
    <w:rsid w:val="65CF34A7"/>
    <w:rsid w:val="65D8147F"/>
    <w:rsid w:val="65F660EF"/>
    <w:rsid w:val="66236944"/>
    <w:rsid w:val="6673798C"/>
    <w:rsid w:val="6710689E"/>
    <w:rsid w:val="673905B6"/>
    <w:rsid w:val="677E2DFD"/>
    <w:rsid w:val="67997383"/>
    <w:rsid w:val="681C3942"/>
    <w:rsid w:val="68460AAC"/>
    <w:rsid w:val="684B77F8"/>
    <w:rsid w:val="68742204"/>
    <w:rsid w:val="68AC1CFE"/>
    <w:rsid w:val="68E84732"/>
    <w:rsid w:val="69050409"/>
    <w:rsid w:val="6929523B"/>
    <w:rsid w:val="6A4B40F8"/>
    <w:rsid w:val="6A8100EB"/>
    <w:rsid w:val="6B144A41"/>
    <w:rsid w:val="6B621F18"/>
    <w:rsid w:val="6BCD1DE6"/>
    <w:rsid w:val="6BF66DAD"/>
    <w:rsid w:val="6BFD1A9F"/>
    <w:rsid w:val="6C097111"/>
    <w:rsid w:val="6C0F2F10"/>
    <w:rsid w:val="6C505023"/>
    <w:rsid w:val="6C627C59"/>
    <w:rsid w:val="6C7C3CEE"/>
    <w:rsid w:val="6D14299F"/>
    <w:rsid w:val="6D672A1E"/>
    <w:rsid w:val="6DC237D1"/>
    <w:rsid w:val="6E4465F2"/>
    <w:rsid w:val="6E607FE4"/>
    <w:rsid w:val="6E6176B3"/>
    <w:rsid w:val="6E6C0F35"/>
    <w:rsid w:val="6E8C6127"/>
    <w:rsid w:val="6F40725E"/>
    <w:rsid w:val="6F797868"/>
    <w:rsid w:val="704A1029"/>
    <w:rsid w:val="705B0DEE"/>
    <w:rsid w:val="711172CF"/>
    <w:rsid w:val="71272AF1"/>
    <w:rsid w:val="71470782"/>
    <w:rsid w:val="7191517F"/>
    <w:rsid w:val="71A66439"/>
    <w:rsid w:val="71AB523B"/>
    <w:rsid w:val="71BA4B1D"/>
    <w:rsid w:val="71C756D2"/>
    <w:rsid w:val="71FD54DD"/>
    <w:rsid w:val="7205184D"/>
    <w:rsid w:val="72084E9A"/>
    <w:rsid w:val="72AD042F"/>
    <w:rsid w:val="7304429C"/>
    <w:rsid w:val="730C18F5"/>
    <w:rsid w:val="731A41CC"/>
    <w:rsid w:val="7340609D"/>
    <w:rsid w:val="738F05B9"/>
    <w:rsid w:val="73E662BA"/>
    <w:rsid w:val="7410294D"/>
    <w:rsid w:val="74324124"/>
    <w:rsid w:val="7443040B"/>
    <w:rsid w:val="74537629"/>
    <w:rsid w:val="745C0B42"/>
    <w:rsid w:val="74A71577"/>
    <w:rsid w:val="74EE0974"/>
    <w:rsid w:val="75051BA7"/>
    <w:rsid w:val="754579D9"/>
    <w:rsid w:val="755723C0"/>
    <w:rsid w:val="755952ED"/>
    <w:rsid w:val="755E7772"/>
    <w:rsid w:val="758E4782"/>
    <w:rsid w:val="75EC7DCD"/>
    <w:rsid w:val="761A2F58"/>
    <w:rsid w:val="76217649"/>
    <w:rsid w:val="76377F56"/>
    <w:rsid w:val="76515061"/>
    <w:rsid w:val="76B94908"/>
    <w:rsid w:val="76CF63AB"/>
    <w:rsid w:val="76D71644"/>
    <w:rsid w:val="76D954CC"/>
    <w:rsid w:val="7704478C"/>
    <w:rsid w:val="774F112A"/>
    <w:rsid w:val="776C2FB6"/>
    <w:rsid w:val="77EF4B32"/>
    <w:rsid w:val="77F36B3E"/>
    <w:rsid w:val="78EB37E1"/>
    <w:rsid w:val="79280E5C"/>
    <w:rsid w:val="795F5E2D"/>
    <w:rsid w:val="79982284"/>
    <w:rsid w:val="7998662D"/>
    <w:rsid w:val="79D15C97"/>
    <w:rsid w:val="7A2A2431"/>
    <w:rsid w:val="7A543144"/>
    <w:rsid w:val="7A590D88"/>
    <w:rsid w:val="7A81543A"/>
    <w:rsid w:val="7A8C5878"/>
    <w:rsid w:val="7AF34D32"/>
    <w:rsid w:val="7B471854"/>
    <w:rsid w:val="7B4E1F77"/>
    <w:rsid w:val="7C055BBF"/>
    <w:rsid w:val="7C2C1CBB"/>
    <w:rsid w:val="7C552333"/>
    <w:rsid w:val="7C8235E7"/>
    <w:rsid w:val="7CA86C55"/>
    <w:rsid w:val="7CF019C1"/>
    <w:rsid w:val="7D371680"/>
    <w:rsid w:val="7D461CAD"/>
    <w:rsid w:val="7D465451"/>
    <w:rsid w:val="7E28286A"/>
    <w:rsid w:val="7E4515FE"/>
    <w:rsid w:val="7E5B556C"/>
    <w:rsid w:val="7E8B2A84"/>
    <w:rsid w:val="7E933D3D"/>
    <w:rsid w:val="7EAD59B2"/>
    <w:rsid w:val="7F2713E0"/>
    <w:rsid w:val="7F416F24"/>
    <w:rsid w:val="7F91273C"/>
    <w:rsid w:val="7FDF055E"/>
    <w:rsid w:val="7FFC28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autoRedefine/>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3"/>
    <w:autoRedefine/>
    <w:qFormat/>
    <w:uiPriority w:val="0"/>
    <w:pPr>
      <w:jc w:val="center"/>
      <w:outlineLvl w:val="1"/>
    </w:pPr>
    <w:rPr>
      <w:rFonts w:ascii="Arial" w:hAnsi="Arial" w:eastAsiaTheme="minorEastAsia"/>
      <w:sz w:val="28"/>
    </w:rPr>
  </w:style>
  <w:style w:type="paragraph" w:styleId="3">
    <w:name w:val="heading 3"/>
    <w:basedOn w:val="1"/>
    <w:next w:val="1"/>
    <w:link w:val="62"/>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4"/>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6"/>
    <w:autoRedefine/>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7"/>
    <w:link w:val="67"/>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7"/>
    <w:link w:val="68"/>
    <w:autoRedefine/>
    <w:qFormat/>
    <w:uiPriority w:val="9"/>
    <w:pPr>
      <w:keepNext/>
      <w:keepLines/>
      <w:numPr>
        <w:ilvl w:val="6"/>
        <w:numId w:val="1"/>
      </w:numPr>
      <w:spacing w:before="240" w:after="64" w:line="319" w:lineRule="auto"/>
      <w:outlineLvl w:val="6"/>
    </w:pPr>
    <w:rPr>
      <w:b/>
      <w:sz w:val="24"/>
    </w:rPr>
  </w:style>
  <w:style w:type="paragraph" w:styleId="11">
    <w:name w:val="heading 8"/>
    <w:basedOn w:val="1"/>
    <w:next w:val="7"/>
    <w:link w:val="69"/>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7"/>
    <w:link w:val="70"/>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link w:val="65"/>
    <w:autoRedefine/>
    <w:qFormat/>
    <w:uiPriority w:val="0"/>
    <w:pPr>
      <w:ind w:firstLine="420" w:firstLineChars="200"/>
    </w:pPr>
  </w:style>
  <w:style w:type="paragraph" w:styleId="8">
    <w:name w:val="toc 3"/>
    <w:basedOn w:val="1"/>
    <w:next w:val="1"/>
    <w:autoRedefine/>
    <w:qFormat/>
    <w:uiPriority w:val="39"/>
    <w:pPr>
      <w:ind w:left="420"/>
      <w:jc w:val="left"/>
    </w:pPr>
    <w:rPr>
      <w:iCs/>
    </w:rPr>
  </w:style>
  <w:style w:type="paragraph" w:styleId="13">
    <w:name w:val="toc 7"/>
    <w:basedOn w:val="1"/>
    <w:next w:val="1"/>
    <w:autoRedefine/>
    <w:qFormat/>
    <w:uiPriority w:val="0"/>
    <w:pPr>
      <w:ind w:left="1260"/>
      <w:jc w:val="left"/>
    </w:pPr>
    <w:rPr>
      <w:szCs w:val="21"/>
    </w:rPr>
  </w:style>
  <w:style w:type="paragraph" w:styleId="14">
    <w:name w:val="List Number 2"/>
    <w:basedOn w:val="1"/>
    <w:autoRedefine/>
    <w:qFormat/>
    <w:uiPriority w:val="0"/>
    <w:pPr>
      <w:tabs>
        <w:tab w:val="left" w:pos="780"/>
      </w:tabs>
      <w:ind w:left="780" w:hanging="360"/>
    </w:pPr>
    <w:rPr>
      <w:szCs w:val="20"/>
    </w:rPr>
  </w:style>
  <w:style w:type="paragraph" w:styleId="15">
    <w:name w:val="List Bullet 4"/>
    <w:basedOn w:val="1"/>
    <w:autoRedefine/>
    <w:qFormat/>
    <w:uiPriority w:val="0"/>
    <w:pPr>
      <w:tabs>
        <w:tab w:val="left" w:pos="425"/>
        <w:tab w:val="left" w:pos="1620"/>
      </w:tabs>
      <w:ind w:left="425" w:hanging="425"/>
    </w:pPr>
    <w:rPr>
      <w:szCs w:val="20"/>
    </w:rPr>
  </w:style>
  <w:style w:type="paragraph" w:styleId="16">
    <w:name w:val="caption"/>
    <w:basedOn w:val="1"/>
    <w:next w:val="1"/>
    <w:link w:val="299"/>
    <w:autoRedefine/>
    <w:qFormat/>
    <w:uiPriority w:val="0"/>
    <w:rPr>
      <w:rFonts w:ascii="Cambria" w:hAnsi="Cambria" w:eastAsia="黑体"/>
    </w:rPr>
  </w:style>
  <w:style w:type="paragraph" w:styleId="17">
    <w:name w:val="List Bullet"/>
    <w:basedOn w:val="1"/>
    <w:autoRedefine/>
    <w:qFormat/>
    <w:uiPriority w:val="0"/>
    <w:pPr>
      <w:numPr>
        <w:ilvl w:val="0"/>
        <w:numId w:val="1"/>
      </w:numPr>
      <w:tabs>
        <w:tab w:val="left" w:pos="360"/>
        <w:tab w:val="clear" w:pos="371"/>
      </w:tabs>
    </w:pPr>
    <w:rPr>
      <w:szCs w:val="20"/>
    </w:rPr>
  </w:style>
  <w:style w:type="paragraph" w:styleId="18">
    <w:name w:val="Document Map"/>
    <w:basedOn w:val="1"/>
    <w:link w:val="75"/>
    <w:autoRedefine/>
    <w:qFormat/>
    <w:uiPriority w:val="0"/>
    <w:pPr>
      <w:shd w:val="clear" w:color="auto" w:fill="000080"/>
    </w:pPr>
  </w:style>
  <w:style w:type="paragraph" w:styleId="19">
    <w:name w:val="annotation text"/>
    <w:basedOn w:val="1"/>
    <w:link w:val="71"/>
    <w:autoRedefine/>
    <w:qFormat/>
    <w:uiPriority w:val="0"/>
    <w:pPr>
      <w:jc w:val="left"/>
    </w:pPr>
  </w:style>
  <w:style w:type="paragraph" w:styleId="20">
    <w:name w:val="Body Text 3"/>
    <w:basedOn w:val="1"/>
    <w:link w:val="460"/>
    <w:autoRedefine/>
    <w:unhideWhenUsed/>
    <w:qFormat/>
    <w:uiPriority w:val="0"/>
    <w:pPr>
      <w:spacing w:after="120"/>
    </w:pPr>
    <w:rPr>
      <w:sz w:val="16"/>
      <w:szCs w:val="16"/>
    </w:rPr>
  </w:style>
  <w:style w:type="paragraph" w:styleId="21">
    <w:name w:val="Body Text"/>
    <w:basedOn w:val="1"/>
    <w:link w:val="73"/>
    <w:autoRedefine/>
    <w:qFormat/>
    <w:uiPriority w:val="0"/>
    <w:pPr>
      <w:spacing w:after="120"/>
      <w:jc w:val="center"/>
    </w:pPr>
    <w:rPr>
      <w:rFonts w:asciiTheme="minorEastAsia" w:hAnsiTheme="minorEastAsia" w:eastAsiaTheme="minorEastAsia"/>
      <w:b/>
      <w:snapToGrid w:val="0"/>
      <w:kern w:val="0"/>
      <w:sz w:val="72"/>
      <w:szCs w:val="72"/>
    </w:rPr>
  </w:style>
  <w:style w:type="paragraph" w:styleId="22">
    <w:name w:val="Body Text Indent"/>
    <w:basedOn w:val="1"/>
    <w:next w:val="23"/>
    <w:link w:val="76"/>
    <w:autoRedefine/>
    <w:qFormat/>
    <w:uiPriority w:val="0"/>
    <w:pPr>
      <w:spacing w:after="120"/>
      <w:ind w:left="420" w:leftChars="200"/>
    </w:pPr>
  </w:style>
  <w:style w:type="paragraph" w:styleId="23">
    <w:name w:val="envelope return"/>
    <w:basedOn w:val="1"/>
    <w:autoRedefine/>
    <w:qFormat/>
    <w:uiPriority w:val="0"/>
    <w:rPr>
      <w:rFonts w:ascii="Arial" w:hAnsi="Arial" w:cs="Arial"/>
    </w:rPr>
  </w:style>
  <w:style w:type="paragraph" w:styleId="24">
    <w:name w:val="Block Text"/>
    <w:basedOn w:val="1"/>
    <w:autoRedefine/>
    <w:qFormat/>
    <w:uiPriority w:val="0"/>
    <w:pPr>
      <w:spacing w:after="120"/>
      <w:ind w:left="1440" w:leftChars="700" w:right="1440" w:rightChars="700"/>
    </w:pPr>
  </w:style>
  <w:style w:type="paragraph" w:styleId="25">
    <w:name w:val="List Bullet 2"/>
    <w:basedOn w:val="1"/>
    <w:autoRedefine/>
    <w:qFormat/>
    <w:uiPriority w:val="0"/>
    <w:pPr>
      <w:numPr>
        <w:ilvl w:val="0"/>
        <w:numId w:val="2"/>
      </w:numPr>
      <w:tabs>
        <w:tab w:val="left" w:pos="780"/>
      </w:tabs>
    </w:pPr>
    <w:rPr>
      <w:szCs w:val="20"/>
    </w:rPr>
  </w:style>
  <w:style w:type="paragraph" w:styleId="26">
    <w:name w:val="toc 5"/>
    <w:basedOn w:val="1"/>
    <w:next w:val="1"/>
    <w:autoRedefine/>
    <w:qFormat/>
    <w:uiPriority w:val="0"/>
    <w:pPr>
      <w:ind w:left="840"/>
      <w:jc w:val="left"/>
    </w:pPr>
    <w:rPr>
      <w:szCs w:val="21"/>
    </w:rPr>
  </w:style>
  <w:style w:type="paragraph" w:styleId="27">
    <w:name w:val="Plain Text"/>
    <w:basedOn w:val="1"/>
    <w:link w:val="77"/>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8"/>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8"/>
    <w:autoRedefine/>
    <w:qFormat/>
    <w:uiPriority w:val="0"/>
    <w:pPr>
      <w:spacing w:after="120" w:line="480" w:lineRule="auto"/>
      <w:ind w:left="420" w:leftChars="200"/>
    </w:pPr>
  </w:style>
  <w:style w:type="paragraph" w:styleId="31">
    <w:name w:val="Balloon Text"/>
    <w:basedOn w:val="1"/>
    <w:link w:val="79"/>
    <w:autoRedefine/>
    <w:qFormat/>
    <w:uiPriority w:val="0"/>
    <w:rPr>
      <w:sz w:val="18"/>
      <w:szCs w:val="18"/>
    </w:rPr>
  </w:style>
  <w:style w:type="paragraph" w:styleId="32">
    <w:name w:val="footer"/>
    <w:basedOn w:val="1"/>
    <w:link w:val="80"/>
    <w:autoRedefine/>
    <w:qFormat/>
    <w:uiPriority w:val="99"/>
    <w:pPr>
      <w:tabs>
        <w:tab w:val="center" w:pos="4153"/>
        <w:tab w:val="right" w:pos="8306"/>
      </w:tabs>
      <w:snapToGrid w:val="0"/>
      <w:jc w:val="left"/>
    </w:pPr>
    <w:rPr>
      <w:sz w:val="18"/>
      <w:szCs w:val="18"/>
    </w:rPr>
  </w:style>
  <w:style w:type="paragraph" w:styleId="33">
    <w:name w:val="header"/>
    <w:basedOn w:val="1"/>
    <w:link w:val="81"/>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9"/>
    <w:autoRedefine/>
    <w:qFormat/>
    <w:uiPriority w:val="0"/>
    <w:pPr>
      <w:ind w:left="4320"/>
    </w:pPr>
    <w:rPr>
      <w:rFonts w:eastAsia="楷体_GB2312"/>
      <w:szCs w:val="20"/>
    </w:rPr>
  </w:style>
  <w:style w:type="paragraph" w:styleId="35">
    <w:name w:val="toc 1"/>
    <w:basedOn w:val="1"/>
    <w:next w:val="1"/>
    <w:autoRedefine/>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65"/>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5"/>
    <w:autoRedefine/>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Body Text 2"/>
    <w:basedOn w:val="1"/>
    <w:link w:val="308"/>
    <w:autoRedefine/>
    <w:qFormat/>
    <w:uiPriority w:val="0"/>
    <w:rPr>
      <w:sz w:val="28"/>
      <w:szCs w:val="20"/>
    </w:rPr>
  </w:style>
  <w:style w:type="paragraph" w:styleId="45">
    <w:name w:val="HTML Preformatted"/>
    <w:basedOn w:val="1"/>
    <w:link w:val="8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autoRedefine/>
    <w:qFormat/>
    <w:uiPriority w:val="99"/>
    <w:pPr>
      <w:widowControl/>
      <w:spacing w:before="100" w:beforeAutospacing="1" w:after="100" w:afterAutospacing="1"/>
      <w:jc w:val="left"/>
    </w:pPr>
    <w:rPr>
      <w:kern w:val="0"/>
      <w:sz w:val="24"/>
    </w:rPr>
  </w:style>
  <w:style w:type="paragraph" w:styleId="47">
    <w:name w:val="Title"/>
    <w:basedOn w:val="1"/>
    <w:next w:val="1"/>
    <w:link w:val="83"/>
    <w:autoRedefine/>
    <w:qFormat/>
    <w:uiPriority w:val="0"/>
    <w:pPr>
      <w:spacing w:before="240" w:after="60"/>
      <w:jc w:val="center"/>
      <w:outlineLvl w:val="0"/>
    </w:pPr>
    <w:rPr>
      <w:rFonts w:ascii="Arial" w:hAnsi="Arial" w:eastAsia="隶书"/>
      <w:b/>
      <w:bCs/>
      <w:sz w:val="32"/>
      <w:szCs w:val="32"/>
    </w:rPr>
  </w:style>
  <w:style w:type="paragraph" w:styleId="48">
    <w:name w:val="annotation subject"/>
    <w:basedOn w:val="19"/>
    <w:next w:val="19"/>
    <w:link w:val="72"/>
    <w:autoRedefine/>
    <w:qFormat/>
    <w:uiPriority w:val="0"/>
    <w:rPr>
      <w:b/>
      <w:bCs/>
    </w:rPr>
  </w:style>
  <w:style w:type="paragraph" w:styleId="49">
    <w:name w:val="Body Text First Indent"/>
    <w:basedOn w:val="21"/>
    <w:link w:val="74"/>
    <w:autoRedefine/>
    <w:qFormat/>
    <w:uiPriority w:val="0"/>
    <w:pPr>
      <w:ind w:firstLine="420" w:firstLineChars="100"/>
    </w:pPr>
  </w:style>
  <w:style w:type="paragraph" w:styleId="50">
    <w:name w:val="Body Text First Indent 2"/>
    <w:basedOn w:val="22"/>
    <w:link w:val="294"/>
    <w:autoRedefine/>
    <w:qFormat/>
    <w:uiPriority w:val="0"/>
    <w:pPr>
      <w:spacing w:after="160" w:line="360" w:lineRule="auto"/>
      <w:ind w:firstLine="480" w:firstLineChars="200"/>
    </w:pPr>
    <w:rPr>
      <w:kern w:val="0"/>
      <w:sz w:val="24"/>
    </w:rPr>
  </w:style>
  <w:style w:type="table" w:styleId="52">
    <w:name w:val="Table Grid"/>
    <w:basedOn w:val="5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autoRedefine/>
    <w:qFormat/>
    <w:uiPriority w:val="20"/>
    <w:rPr>
      <w:i/>
      <w:iCs/>
    </w:rPr>
  </w:style>
  <w:style w:type="character" w:styleId="58">
    <w:name w:val="Hyperlink"/>
    <w:autoRedefine/>
    <w:qFormat/>
    <w:uiPriority w:val="99"/>
    <w:rPr>
      <w:color w:val="0000FF"/>
      <w:u w:val="single"/>
    </w:rPr>
  </w:style>
  <w:style w:type="character" w:styleId="59">
    <w:name w:val="annotation reference"/>
    <w:autoRedefine/>
    <w:qFormat/>
    <w:uiPriority w:val="0"/>
    <w:rPr>
      <w:sz w:val="21"/>
      <w:szCs w:val="21"/>
    </w:rPr>
  </w:style>
  <w:style w:type="character" w:customStyle="1" w:styleId="60">
    <w:name w:val="标题 1 Char"/>
    <w:basedOn w:val="53"/>
    <w:link w:val="2"/>
    <w:autoRedefine/>
    <w:qFormat/>
    <w:uiPriority w:val="0"/>
    <w:rPr>
      <w:rFonts w:eastAsiaTheme="minorEastAsia"/>
      <w:b/>
      <w:kern w:val="44"/>
      <w:sz w:val="44"/>
      <w:szCs w:val="28"/>
    </w:rPr>
  </w:style>
  <w:style w:type="paragraph" w:customStyle="1" w:styleId="61">
    <w:name w:val="样式 4 10 磅2"/>
    <w:autoRedefine/>
    <w:qFormat/>
    <w:uiPriority w:val="0"/>
    <w:pPr>
      <w:widowControl w:val="0"/>
      <w:jc w:val="both"/>
    </w:pPr>
    <w:rPr>
      <w:rFonts w:ascii="等线" w:hAnsi="Times New Roman" w:eastAsia="等线" w:cs="Times New Roman"/>
      <w:kern w:val="2"/>
      <w:sz w:val="21"/>
      <w:szCs w:val="22"/>
      <w:lang w:val="en-US" w:eastAsia="zh-CN" w:bidi="ar-SA"/>
    </w:rPr>
  </w:style>
  <w:style w:type="character" w:customStyle="1" w:styleId="62">
    <w:name w:val="标题 3 Char"/>
    <w:basedOn w:val="53"/>
    <w:link w:val="3"/>
    <w:autoRedefine/>
    <w:qFormat/>
    <w:uiPriority w:val="0"/>
    <w:rPr>
      <w:b/>
      <w:bCs/>
      <w:kern w:val="2"/>
      <w:sz w:val="24"/>
      <w:szCs w:val="32"/>
    </w:rPr>
  </w:style>
  <w:style w:type="character" w:customStyle="1" w:styleId="63">
    <w:name w:val="标题 2 Char"/>
    <w:basedOn w:val="53"/>
    <w:link w:val="4"/>
    <w:autoRedefine/>
    <w:qFormat/>
    <w:uiPriority w:val="0"/>
    <w:rPr>
      <w:rFonts w:ascii="Arial" w:hAnsi="Arial" w:eastAsiaTheme="minorEastAsia"/>
      <w:b/>
      <w:bCs/>
      <w:kern w:val="2"/>
      <w:sz w:val="28"/>
      <w:szCs w:val="32"/>
    </w:rPr>
  </w:style>
  <w:style w:type="character" w:customStyle="1" w:styleId="64">
    <w:name w:val="标题 4 Char1"/>
    <w:basedOn w:val="53"/>
    <w:link w:val="5"/>
    <w:autoRedefine/>
    <w:qFormat/>
    <w:uiPriority w:val="99"/>
    <w:rPr>
      <w:rFonts w:ascii="Arial" w:hAnsi="Arial" w:eastAsia="黑体"/>
      <w:b/>
      <w:bCs/>
      <w:kern w:val="2"/>
      <w:sz w:val="28"/>
      <w:szCs w:val="28"/>
    </w:rPr>
  </w:style>
  <w:style w:type="character" w:customStyle="1" w:styleId="65">
    <w:name w:val="正文缩进 Char"/>
    <w:link w:val="7"/>
    <w:autoRedefine/>
    <w:qFormat/>
    <w:uiPriority w:val="0"/>
    <w:rPr>
      <w:rFonts w:eastAsia="宋体"/>
      <w:kern w:val="2"/>
      <w:sz w:val="21"/>
      <w:szCs w:val="24"/>
      <w:lang w:val="en-US" w:eastAsia="zh-CN" w:bidi="ar-SA"/>
    </w:rPr>
  </w:style>
  <w:style w:type="character" w:customStyle="1" w:styleId="66">
    <w:name w:val="标题 5 Char1"/>
    <w:basedOn w:val="53"/>
    <w:link w:val="6"/>
    <w:autoRedefine/>
    <w:qFormat/>
    <w:uiPriority w:val="0"/>
    <w:rPr>
      <w:b/>
      <w:kern w:val="2"/>
      <w:sz w:val="28"/>
      <w:szCs w:val="24"/>
    </w:rPr>
  </w:style>
  <w:style w:type="character" w:customStyle="1" w:styleId="67">
    <w:name w:val="标题 6 Char1"/>
    <w:basedOn w:val="53"/>
    <w:link w:val="9"/>
    <w:autoRedefine/>
    <w:qFormat/>
    <w:uiPriority w:val="9"/>
    <w:rPr>
      <w:rFonts w:ascii="Arial" w:hAnsi="Arial" w:eastAsia="黑体"/>
      <w:b/>
      <w:kern w:val="2"/>
      <w:sz w:val="24"/>
      <w:szCs w:val="24"/>
    </w:rPr>
  </w:style>
  <w:style w:type="character" w:customStyle="1" w:styleId="68">
    <w:name w:val="标题 7 Char1"/>
    <w:basedOn w:val="53"/>
    <w:link w:val="10"/>
    <w:autoRedefine/>
    <w:qFormat/>
    <w:uiPriority w:val="9"/>
    <w:rPr>
      <w:b/>
      <w:kern w:val="2"/>
      <w:sz w:val="24"/>
      <w:szCs w:val="24"/>
    </w:rPr>
  </w:style>
  <w:style w:type="character" w:customStyle="1" w:styleId="69">
    <w:name w:val="标题 8 Char1"/>
    <w:basedOn w:val="53"/>
    <w:link w:val="11"/>
    <w:autoRedefine/>
    <w:qFormat/>
    <w:uiPriority w:val="9"/>
    <w:rPr>
      <w:rFonts w:ascii="Arial" w:hAnsi="Arial" w:eastAsia="黑体"/>
      <w:kern w:val="2"/>
      <w:sz w:val="24"/>
      <w:szCs w:val="24"/>
    </w:rPr>
  </w:style>
  <w:style w:type="character" w:customStyle="1" w:styleId="70">
    <w:name w:val="标题 9 Char1"/>
    <w:basedOn w:val="53"/>
    <w:link w:val="12"/>
    <w:autoRedefine/>
    <w:qFormat/>
    <w:uiPriority w:val="0"/>
    <w:rPr>
      <w:rFonts w:ascii="Arial" w:hAnsi="Arial" w:eastAsia="黑体"/>
      <w:kern w:val="2"/>
      <w:sz w:val="21"/>
      <w:szCs w:val="24"/>
    </w:rPr>
  </w:style>
  <w:style w:type="character" w:customStyle="1" w:styleId="71">
    <w:name w:val="批注文字 Char"/>
    <w:link w:val="19"/>
    <w:autoRedefine/>
    <w:qFormat/>
    <w:uiPriority w:val="0"/>
    <w:rPr>
      <w:kern w:val="2"/>
      <w:sz w:val="21"/>
      <w:szCs w:val="24"/>
    </w:rPr>
  </w:style>
  <w:style w:type="character" w:customStyle="1" w:styleId="72">
    <w:name w:val="批注主题 Char"/>
    <w:basedOn w:val="71"/>
    <w:link w:val="48"/>
    <w:autoRedefine/>
    <w:qFormat/>
    <w:uiPriority w:val="0"/>
    <w:rPr>
      <w:b/>
      <w:bCs/>
      <w:kern w:val="2"/>
      <w:sz w:val="21"/>
      <w:szCs w:val="24"/>
    </w:rPr>
  </w:style>
  <w:style w:type="character" w:customStyle="1" w:styleId="73">
    <w:name w:val="正文文本 Char"/>
    <w:basedOn w:val="53"/>
    <w:link w:val="21"/>
    <w:autoRedefine/>
    <w:qFormat/>
    <w:uiPriority w:val="0"/>
    <w:rPr>
      <w:rFonts w:asciiTheme="minorEastAsia" w:hAnsiTheme="minorEastAsia" w:eastAsiaTheme="minorEastAsia"/>
      <w:b/>
      <w:snapToGrid w:val="0"/>
      <w:sz w:val="72"/>
      <w:szCs w:val="72"/>
    </w:rPr>
  </w:style>
  <w:style w:type="character" w:customStyle="1" w:styleId="74">
    <w:name w:val="正文首行缩进 Char"/>
    <w:link w:val="49"/>
    <w:autoRedefine/>
    <w:qFormat/>
    <w:uiPriority w:val="0"/>
    <w:rPr>
      <w:rFonts w:eastAsia="宋体"/>
      <w:kern w:val="2"/>
      <w:sz w:val="21"/>
      <w:szCs w:val="24"/>
      <w:lang w:val="en-US" w:eastAsia="zh-CN" w:bidi="ar-SA"/>
    </w:rPr>
  </w:style>
  <w:style w:type="character" w:customStyle="1" w:styleId="75">
    <w:name w:val="文档结构图 Char"/>
    <w:basedOn w:val="53"/>
    <w:link w:val="18"/>
    <w:autoRedefine/>
    <w:qFormat/>
    <w:uiPriority w:val="0"/>
    <w:rPr>
      <w:kern w:val="2"/>
      <w:sz w:val="21"/>
      <w:szCs w:val="24"/>
      <w:shd w:val="clear" w:color="auto" w:fill="000080"/>
    </w:rPr>
  </w:style>
  <w:style w:type="character" w:customStyle="1" w:styleId="76">
    <w:name w:val="正文文本缩进 Char1"/>
    <w:basedOn w:val="53"/>
    <w:link w:val="22"/>
    <w:autoRedefine/>
    <w:qFormat/>
    <w:uiPriority w:val="0"/>
    <w:rPr>
      <w:kern w:val="2"/>
      <w:sz w:val="21"/>
      <w:szCs w:val="24"/>
    </w:rPr>
  </w:style>
  <w:style w:type="character" w:customStyle="1" w:styleId="77">
    <w:name w:val="纯文本 Char"/>
    <w:link w:val="27"/>
    <w:autoRedefine/>
    <w:qFormat/>
    <w:uiPriority w:val="0"/>
    <w:rPr>
      <w:rFonts w:ascii="宋体" w:hAnsi="Courier New" w:eastAsia="宋体"/>
      <w:kern w:val="2"/>
      <w:sz w:val="21"/>
      <w:lang w:val="en-US" w:eastAsia="zh-CN" w:bidi="ar-SA"/>
    </w:rPr>
  </w:style>
  <w:style w:type="character" w:customStyle="1" w:styleId="78">
    <w:name w:val="正文文本缩进 2 Char1"/>
    <w:link w:val="30"/>
    <w:autoRedefine/>
    <w:qFormat/>
    <w:uiPriority w:val="0"/>
    <w:rPr>
      <w:kern w:val="2"/>
      <w:sz w:val="21"/>
      <w:szCs w:val="24"/>
    </w:rPr>
  </w:style>
  <w:style w:type="character" w:customStyle="1" w:styleId="79">
    <w:name w:val="批注框文本 Char"/>
    <w:basedOn w:val="53"/>
    <w:link w:val="31"/>
    <w:autoRedefine/>
    <w:qFormat/>
    <w:uiPriority w:val="99"/>
    <w:rPr>
      <w:kern w:val="2"/>
      <w:sz w:val="18"/>
      <w:szCs w:val="18"/>
    </w:rPr>
  </w:style>
  <w:style w:type="character" w:customStyle="1" w:styleId="80">
    <w:name w:val="页脚 Char"/>
    <w:basedOn w:val="53"/>
    <w:link w:val="32"/>
    <w:autoRedefine/>
    <w:qFormat/>
    <w:uiPriority w:val="99"/>
    <w:rPr>
      <w:kern w:val="2"/>
      <w:sz w:val="18"/>
      <w:szCs w:val="18"/>
    </w:rPr>
  </w:style>
  <w:style w:type="character" w:customStyle="1" w:styleId="81">
    <w:name w:val="页眉 Char"/>
    <w:link w:val="33"/>
    <w:autoRedefine/>
    <w:qFormat/>
    <w:uiPriority w:val="99"/>
    <w:rPr>
      <w:kern w:val="2"/>
      <w:sz w:val="18"/>
      <w:szCs w:val="18"/>
    </w:rPr>
  </w:style>
  <w:style w:type="character" w:customStyle="1" w:styleId="82">
    <w:name w:val="HTML 预设格式 Char1"/>
    <w:link w:val="45"/>
    <w:autoRedefine/>
    <w:qFormat/>
    <w:uiPriority w:val="0"/>
    <w:rPr>
      <w:rFonts w:ascii="宋体" w:hAnsi="宋体" w:cs="宋体"/>
      <w:sz w:val="24"/>
      <w:szCs w:val="24"/>
    </w:rPr>
  </w:style>
  <w:style w:type="character" w:customStyle="1" w:styleId="83">
    <w:name w:val="标题 Char"/>
    <w:link w:val="47"/>
    <w:autoRedefine/>
    <w:qFormat/>
    <w:uiPriority w:val="0"/>
    <w:rPr>
      <w:rFonts w:ascii="Arial" w:hAnsi="Arial" w:eastAsia="隶书" w:cs="Arial"/>
      <w:b/>
      <w:bCs/>
      <w:kern w:val="2"/>
      <w:sz w:val="32"/>
      <w:szCs w:val="32"/>
    </w:rPr>
  </w:style>
  <w:style w:type="paragraph" w:customStyle="1" w:styleId="84">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样式1 Char Char"/>
    <w:basedOn w:val="1"/>
    <w:next w:val="1"/>
    <w:link w:val="86"/>
    <w:autoRedefine/>
    <w:qFormat/>
    <w:uiPriority w:val="0"/>
    <w:pPr>
      <w:spacing w:line="360" w:lineRule="auto"/>
      <w:ind w:firstLine="516" w:firstLineChars="215"/>
    </w:pPr>
    <w:rPr>
      <w:sz w:val="24"/>
      <w:szCs w:val="20"/>
    </w:rPr>
  </w:style>
  <w:style w:type="character" w:customStyle="1" w:styleId="86">
    <w:name w:val="样式1 Char Char Char"/>
    <w:link w:val="85"/>
    <w:autoRedefine/>
    <w:qFormat/>
    <w:uiPriority w:val="0"/>
    <w:rPr>
      <w:rFonts w:eastAsia="宋体"/>
      <w:kern w:val="2"/>
      <w:sz w:val="24"/>
      <w:lang w:val="en-US" w:eastAsia="zh-CN" w:bidi="ar-SA"/>
    </w:rPr>
  </w:style>
  <w:style w:type="paragraph" w:customStyle="1" w:styleId="87">
    <w:name w:val="样式1"/>
    <w:basedOn w:val="47"/>
    <w:link w:val="88"/>
    <w:autoRedefine/>
    <w:qFormat/>
    <w:uiPriority w:val="0"/>
    <w:pPr>
      <w:spacing w:before="120" w:after="120"/>
    </w:pPr>
    <w:rPr>
      <w:rFonts w:eastAsia="黑体" w:cs="Arial"/>
      <w:b w:val="0"/>
      <w:sz w:val="30"/>
      <w:szCs w:val="21"/>
    </w:rPr>
  </w:style>
  <w:style w:type="character" w:customStyle="1" w:styleId="88">
    <w:name w:val="样式1 Char"/>
    <w:link w:val="87"/>
    <w:autoRedefine/>
    <w:qFormat/>
    <w:uiPriority w:val="0"/>
    <w:rPr>
      <w:rFonts w:ascii="Arial" w:hAnsi="Arial" w:eastAsia="黑体" w:cs="Arial"/>
      <w:bCs/>
      <w:kern w:val="2"/>
      <w:sz w:val="30"/>
      <w:szCs w:val="21"/>
      <w:lang w:val="en-US" w:eastAsia="zh-CN" w:bidi="ar-SA"/>
    </w:rPr>
  </w:style>
  <w:style w:type="paragraph" w:customStyle="1" w:styleId="89">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1">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2">
    <w:name w:val="Char1"/>
    <w:basedOn w:val="1"/>
    <w:autoRedefine/>
    <w:qFormat/>
    <w:uiPriority w:val="0"/>
    <w:rPr>
      <w:rFonts w:ascii="仿宋_GB2312" w:eastAsia="仿宋_GB2312"/>
      <w:b/>
      <w:sz w:val="32"/>
      <w:szCs w:val="32"/>
    </w:rPr>
  </w:style>
  <w:style w:type="character" w:customStyle="1" w:styleId="93">
    <w:name w:val="tpc_title1"/>
    <w:autoRedefine/>
    <w:qFormat/>
    <w:uiPriority w:val="0"/>
    <w:rPr>
      <w:b/>
      <w:bCs/>
      <w:sz w:val="18"/>
      <w:szCs w:val="18"/>
    </w:rPr>
  </w:style>
  <w:style w:type="character" w:customStyle="1" w:styleId="94">
    <w:name w:val="tpc_content1"/>
    <w:autoRedefine/>
    <w:qFormat/>
    <w:uiPriority w:val="0"/>
    <w:rPr>
      <w:sz w:val="20"/>
      <w:szCs w:val="20"/>
    </w:rPr>
  </w:style>
  <w:style w:type="paragraph" w:customStyle="1" w:styleId="95">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6">
    <w:name w:val="列出段落1"/>
    <w:basedOn w:val="1"/>
    <w:link w:val="97"/>
    <w:autoRedefine/>
    <w:qFormat/>
    <w:uiPriority w:val="0"/>
    <w:pPr>
      <w:spacing w:line="360" w:lineRule="exact"/>
    </w:pPr>
    <w:rPr>
      <w:rFonts w:cs="宋体" w:asciiTheme="minorEastAsia" w:hAnsiTheme="minorEastAsia" w:eastAsiaTheme="minorEastAsia"/>
      <w:b/>
      <w:bCs/>
      <w:szCs w:val="21"/>
    </w:rPr>
  </w:style>
  <w:style w:type="character" w:customStyle="1" w:styleId="97">
    <w:name w:val="列表段落 字符"/>
    <w:link w:val="96"/>
    <w:autoRedefine/>
    <w:qFormat/>
    <w:uiPriority w:val="0"/>
    <w:rPr>
      <w:rFonts w:cs="宋体" w:asciiTheme="minorEastAsia" w:hAnsiTheme="minorEastAsia" w:eastAsiaTheme="minorEastAsia"/>
      <w:b/>
      <w:bCs/>
      <w:kern w:val="2"/>
      <w:sz w:val="21"/>
      <w:szCs w:val="21"/>
    </w:rPr>
  </w:style>
  <w:style w:type="paragraph" w:customStyle="1" w:styleId="98">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9">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100">
    <w:name w:val="缩进正文"/>
    <w:basedOn w:val="1"/>
    <w:link w:val="101"/>
    <w:autoRedefine/>
    <w:qFormat/>
    <w:uiPriority w:val="0"/>
    <w:pPr>
      <w:ind w:firstLine="560" w:firstLineChars="200"/>
    </w:pPr>
    <w:rPr>
      <w:rFonts w:eastAsia="仿宋_GB2312" w:cs="宋体"/>
      <w:sz w:val="28"/>
      <w:szCs w:val="20"/>
    </w:rPr>
  </w:style>
  <w:style w:type="character" w:customStyle="1" w:styleId="101">
    <w:name w:val="缩进正文 Char"/>
    <w:link w:val="100"/>
    <w:autoRedefine/>
    <w:qFormat/>
    <w:uiPriority w:val="0"/>
    <w:rPr>
      <w:rFonts w:eastAsia="仿宋_GB2312" w:cs="宋体"/>
      <w:kern w:val="2"/>
      <w:sz w:val="28"/>
      <w:lang w:val="en-US" w:eastAsia="zh-CN" w:bidi="ar-SA"/>
    </w:rPr>
  </w:style>
  <w:style w:type="character" w:customStyle="1" w:styleId="102">
    <w:name w:val="访问过的超链接1"/>
    <w:autoRedefine/>
    <w:qFormat/>
    <w:uiPriority w:val="0"/>
    <w:rPr>
      <w:color w:val="800080"/>
      <w:u w:val="single"/>
    </w:rPr>
  </w:style>
  <w:style w:type="paragraph" w:customStyle="1" w:styleId="103">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4">
    <w:name w:val="正文缩进 Char1"/>
    <w:autoRedefine/>
    <w:qFormat/>
    <w:uiPriority w:val="0"/>
    <w:rPr>
      <w:rFonts w:eastAsia="宋体"/>
      <w:kern w:val="2"/>
      <w:sz w:val="21"/>
      <w:lang w:val="en-US" w:eastAsia="zh-CN" w:bidi="ar-SA"/>
    </w:rPr>
  </w:style>
  <w:style w:type="paragraph" w:customStyle="1" w:styleId="105">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6">
    <w:name w:val="列出段落11"/>
    <w:basedOn w:val="1"/>
    <w:autoRedefine/>
    <w:unhideWhenUsed/>
    <w:qFormat/>
    <w:uiPriority w:val="34"/>
    <w:pPr>
      <w:ind w:firstLine="420" w:firstLineChars="200"/>
    </w:pPr>
  </w:style>
  <w:style w:type="paragraph" w:customStyle="1" w:styleId="107">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8">
    <w:name w:val="font11"/>
    <w:basedOn w:val="53"/>
    <w:autoRedefine/>
    <w:qFormat/>
    <w:uiPriority w:val="0"/>
    <w:rPr>
      <w:rFonts w:hint="eastAsia" w:ascii="宋体" w:hAnsi="宋体" w:eastAsia="宋体" w:cs="宋体"/>
      <w:b/>
      <w:color w:val="000000"/>
      <w:sz w:val="21"/>
      <w:szCs w:val="21"/>
      <w:u w:val="none"/>
    </w:rPr>
  </w:style>
  <w:style w:type="character" w:customStyle="1" w:styleId="109">
    <w:name w:val="批注文字 Char1"/>
    <w:autoRedefine/>
    <w:qFormat/>
    <w:locked/>
    <w:uiPriority w:val="0"/>
    <w:rPr>
      <w:rFonts w:ascii="Calibri" w:hAnsi="Calibri" w:eastAsia="宋体" w:cs="Calibri"/>
      <w:szCs w:val="21"/>
    </w:rPr>
  </w:style>
  <w:style w:type="character" w:customStyle="1" w:styleId="110">
    <w:name w:val="title1"/>
    <w:autoRedefine/>
    <w:qFormat/>
    <w:uiPriority w:val="0"/>
    <w:rPr>
      <w:rFonts w:hint="eastAsia" w:ascii="微软雅黑" w:hAnsi="微软雅黑" w:eastAsia="微软雅黑"/>
      <w:sz w:val="21"/>
      <w:szCs w:val="21"/>
    </w:rPr>
  </w:style>
  <w:style w:type="character" w:customStyle="1" w:styleId="111">
    <w:name w:val="sect2title1"/>
    <w:autoRedefine/>
    <w:qFormat/>
    <w:uiPriority w:val="0"/>
    <w:rPr>
      <w:rFonts w:hint="eastAsia" w:ascii="微软雅黑" w:hAnsi="微软雅黑" w:eastAsia="微软雅黑"/>
      <w:b/>
      <w:bCs/>
      <w:sz w:val="21"/>
      <w:szCs w:val="21"/>
    </w:rPr>
  </w:style>
  <w:style w:type="paragraph" w:customStyle="1" w:styleId="112">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3">
    <w:name w:val="font01"/>
    <w:basedOn w:val="53"/>
    <w:autoRedefine/>
    <w:qFormat/>
    <w:uiPriority w:val="0"/>
    <w:rPr>
      <w:rFonts w:ascii="Tahoma" w:hAnsi="Tahoma" w:eastAsia="Tahoma" w:cs="Tahoma"/>
      <w:color w:val="000000"/>
      <w:sz w:val="20"/>
      <w:szCs w:val="20"/>
      <w:u w:val="none"/>
    </w:rPr>
  </w:style>
  <w:style w:type="paragraph" w:customStyle="1" w:styleId="114">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5">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7">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9">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20">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1">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2">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3">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4">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5">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6">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7">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8">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9">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30">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2">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3">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4">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6">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7">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8">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9">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0">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1">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2">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3">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4">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5">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6">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7">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9">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50">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1">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3">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6">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9">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60">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3">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4">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5">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7">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8">
    <w:name w:val="font41"/>
    <w:basedOn w:val="53"/>
    <w:autoRedefine/>
    <w:qFormat/>
    <w:uiPriority w:val="0"/>
    <w:rPr>
      <w:rFonts w:hint="eastAsia" w:ascii="仿宋_GB2312" w:eastAsia="仿宋_GB2312" w:cs="仿宋_GB2312"/>
      <w:color w:val="000000"/>
      <w:sz w:val="20"/>
      <w:szCs w:val="20"/>
      <w:u w:val="none"/>
    </w:rPr>
  </w:style>
  <w:style w:type="character" w:customStyle="1" w:styleId="169">
    <w:name w:val="font31"/>
    <w:basedOn w:val="53"/>
    <w:autoRedefine/>
    <w:qFormat/>
    <w:uiPriority w:val="0"/>
    <w:rPr>
      <w:rFonts w:hint="default" w:ascii="Symbol" w:hAnsi="Symbol" w:cs="Symbol"/>
      <w:color w:val="000000"/>
      <w:sz w:val="20"/>
      <w:szCs w:val="20"/>
      <w:u w:val="none"/>
    </w:rPr>
  </w:style>
  <w:style w:type="character" w:customStyle="1" w:styleId="170">
    <w:name w:val="font71"/>
    <w:basedOn w:val="53"/>
    <w:autoRedefine/>
    <w:qFormat/>
    <w:uiPriority w:val="0"/>
    <w:rPr>
      <w:rFonts w:ascii="Arial" w:hAnsi="Arial" w:cs="Arial"/>
      <w:color w:val="000000"/>
      <w:sz w:val="20"/>
      <w:szCs w:val="20"/>
      <w:u w:val="none"/>
    </w:rPr>
  </w:style>
  <w:style w:type="character" w:customStyle="1" w:styleId="171">
    <w:name w:val="font21"/>
    <w:basedOn w:val="53"/>
    <w:autoRedefine/>
    <w:qFormat/>
    <w:uiPriority w:val="0"/>
    <w:rPr>
      <w:rFonts w:hint="default" w:ascii="Symbol" w:hAnsi="Symbol" w:cs="Symbol"/>
      <w:color w:val="000000"/>
      <w:sz w:val="20"/>
      <w:szCs w:val="20"/>
      <w:u w:val="none"/>
    </w:rPr>
  </w:style>
  <w:style w:type="character" w:customStyle="1" w:styleId="172">
    <w:name w:val="font91"/>
    <w:basedOn w:val="53"/>
    <w:autoRedefine/>
    <w:qFormat/>
    <w:uiPriority w:val="0"/>
    <w:rPr>
      <w:rFonts w:ascii="Arial" w:hAnsi="Arial" w:cs="Arial"/>
      <w:color w:val="000000"/>
      <w:sz w:val="20"/>
      <w:szCs w:val="20"/>
      <w:u w:val="none"/>
    </w:rPr>
  </w:style>
  <w:style w:type="character" w:customStyle="1" w:styleId="173">
    <w:name w:val="font51"/>
    <w:basedOn w:val="53"/>
    <w:autoRedefine/>
    <w:qFormat/>
    <w:uiPriority w:val="0"/>
    <w:rPr>
      <w:rFonts w:ascii="仿宋" w:hAnsi="仿宋" w:eastAsia="仿宋" w:cs="仿宋"/>
      <w:color w:val="000000"/>
      <w:sz w:val="21"/>
      <w:szCs w:val="21"/>
      <w:u w:val="none"/>
    </w:rPr>
  </w:style>
  <w:style w:type="character" w:customStyle="1" w:styleId="174">
    <w:name w:val="font101"/>
    <w:basedOn w:val="53"/>
    <w:autoRedefine/>
    <w:qFormat/>
    <w:uiPriority w:val="0"/>
    <w:rPr>
      <w:rFonts w:hint="eastAsia" w:ascii="仿宋_GB2312" w:eastAsia="仿宋_GB2312" w:cs="仿宋_GB2312"/>
      <w:color w:val="000000"/>
      <w:sz w:val="20"/>
      <w:szCs w:val="20"/>
      <w:u w:val="none"/>
    </w:rPr>
  </w:style>
  <w:style w:type="character" w:customStyle="1" w:styleId="175">
    <w:name w:val="font61"/>
    <w:basedOn w:val="53"/>
    <w:autoRedefine/>
    <w:qFormat/>
    <w:uiPriority w:val="0"/>
    <w:rPr>
      <w:rFonts w:hint="eastAsia" w:ascii="宋体" w:hAnsi="宋体" w:eastAsia="宋体" w:cs="宋体"/>
      <w:color w:val="000000"/>
      <w:sz w:val="20"/>
      <w:szCs w:val="20"/>
      <w:u w:val="none"/>
    </w:rPr>
  </w:style>
  <w:style w:type="character" w:customStyle="1" w:styleId="176">
    <w:name w:val="font81"/>
    <w:basedOn w:val="53"/>
    <w:autoRedefine/>
    <w:qFormat/>
    <w:uiPriority w:val="0"/>
    <w:rPr>
      <w:rFonts w:hint="eastAsia" w:ascii="仿宋" w:hAnsi="仿宋" w:eastAsia="仿宋" w:cs="仿宋"/>
      <w:color w:val="000000"/>
      <w:sz w:val="21"/>
      <w:szCs w:val="21"/>
      <w:u w:val="none"/>
    </w:rPr>
  </w:style>
  <w:style w:type="character" w:customStyle="1" w:styleId="177">
    <w:name w:val="font111"/>
    <w:basedOn w:val="53"/>
    <w:autoRedefine/>
    <w:qFormat/>
    <w:uiPriority w:val="0"/>
    <w:rPr>
      <w:rFonts w:hint="eastAsia" w:ascii="仿宋_GB2312" w:eastAsia="仿宋_GB2312" w:cs="仿宋_GB2312"/>
      <w:color w:val="000000"/>
      <w:sz w:val="21"/>
      <w:szCs w:val="21"/>
      <w:u w:val="none"/>
    </w:rPr>
  </w:style>
  <w:style w:type="character" w:customStyle="1" w:styleId="178">
    <w:name w:val="font121"/>
    <w:basedOn w:val="53"/>
    <w:autoRedefine/>
    <w:qFormat/>
    <w:uiPriority w:val="0"/>
    <w:rPr>
      <w:rFonts w:ascii="Arial" w:hAnsi="Arial" w:cs="Arial"/>
      <w:color w:val="000000"/>
      <w:sz w:val="20"/>
      <w:szCs w:val="20"/>
      <w:u w:val="none"/>
    </w:rPr>
  </w:style>
  <w:style w:type="character" w:customStyle="1" w:styleId="179">
    <w:name w:val="font112"/>
    <w:basedOn w:val="53"/>
    <w:autoRedefine/>
    <w:qFormat/>
    <w:uiPriority w:val="0"/>
    <w:rPr>
      <w:rFonts w:hint="eastAsia" w:ascii="仿宋_GB2312" w:eastAsia="仿宋_GB2312" w:cs="仿宋_GB2312"/>
      <w:color w:val="000000"/>
      <w:sz w:val="21"/>
      <w:szCs w:val="21"/>
      <w:u w:val="none"/>
    </w:rPr>
  </w:style>
  <w:style w:type="paragraph" w:customStyle="1" w:styleId="180">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1">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2">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3">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4">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5">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7">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9">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1">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3">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8">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9">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200">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1">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2">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3">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4">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5">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7">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10">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1">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7">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1">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3">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4">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6">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9">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2">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3">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4">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5">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6">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7">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8">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9">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2">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4">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6">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7">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8">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9">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0">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3">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4">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5">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7">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8">
    <w:name w:val="正文A缩进"/>
    <w:basedOn w:val="1"/>
    <w:autoRedefine/>
    <w:qFormat/>
    <w:uiPriority w:val="0"/>
    <w:pPr>
      <w:spacing w:line="360" w:lineRule="auto"/>
      <w:ind w:firstLine="200" w:firstLineChars="200"/>
    </w:pPr>
    <w:rPr>
      <w:kern w:val="0"/>
      <w:sz w:val="28"/>
      <w:szCs w:val="20"/>
    </w:rPr>
  </w:style>
  <w:style w:type="paragraph" w:customStyle="1" w:styleId="259">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60">
    <w:name w:val="标题 5 Char"/>
    <w:basedOn w:val="53"/>
    <w:autoRedefine/>
    <w:qFormat/>
    <w:uiPriority w:val="0"/>
    <w:rPr>
      <w:b/>
      <w:bCs/>
      <w:kern w:val="2"/>
      <w:sz w:val="28"/>
      <w:szCs w:val="28"/>
    </w:rPr>
  </w:style>
  <w:style w:type="character" w:customStyle="1" w:styleId="261">
    <w:name w:val="标题 6 Char"/>
    <w:basedOn w:val="53"/>
    <w:autoRedefine/>
    <w:qFormat/>
    <w:uiPriority w:val="9"/>
    <w:rPr>
      <w:rFonts w:asciiTheme="majorHAnsi" w:hAnsiTheme="majorHAnsi" w:eastAsiaTheme="majorEastAsia" w:cstheme="majorBidi"/>
      <w:b/>
      <w:bCs/>
      <w:kern w:val="2"/>
      <w:sz w:val="24"/>
      <w:szCs w:val="24"/>
    </w:rPr>
  </w:style>
  <w:style w:type="character" w:customStyle="1" w:styleId="262">
    <w:name w:val="标题 7 Char"/>
    <w:basedOn w:val="53"/>
    <w:autoRedefine/>
    <w:qFormat/>
    <w:uiPriority w:val="9"/>
    <w:rPr>
      <w:b/>
      <w:bCs/>
      <w:kern w:val="2"/>
      <w:sz w:val="24"/>
      <w:szCs w:val="24"/>
    </w:rPr>
  </w:style>
  <w:style w:type="character" w:customStyle="1" w:styleId="263">
    <w:name w:val="标题 8 Char"/>
    <w:basedOn w:val="53"/>
    <w:autoRedefine/>
    <w:qFormat/>
    <w:uiPriority w:val="9"/>
    <w:rPr>
      <w:rFonts w:asciiTheme="majorHAnsi" w:hAnsiTheme="majorHAnsi" w:eastAsiaTheme="majorEastAsia" w:cstheme="majorBidi"/>
      <w:kern w:val="2"/>
      <w:sz w:val="24"/>
      <w:szCs w:val="24"/>
    </w:rPr>
  </w:style>
  <w:style w:type="character" w:customStyle="1" w:styleId="264">
    <w:name w:val="标题 9 Char"/>
    <w:basedOn w:val="53"/>
    <w:autoRedefine/>
    <w:qFormat/>
    <w:uiPriority w:val="0"/>
    <w:rPr>
      <w:rFonts w:asciiTheme="majorHAnsi" w:hAnsiTheme="majorHAnsi" w:eastAsiaTheme="majorEastAsia" w:cstheme="majorBidi"/>
      <w:kern w:val="2"/>
      <w:sz w:val="21"/>
      <w:szCs w:val="21"/>
    </w:rPr>
  </w:style>
  <w:style w:type="paragraph" w:customStyle="1" w:styleId="265">
    <w:name w:val="！表格内容"/>
    <w:basedOn w:val="1"/>
    <w:autoRedefine/>
    <w:qFormat/>
    <w:uiPriority w:val="0"/>
    <w:pPr>
      <w:spacing w:line="320" w:lineRule="atLeast"/>
    </w:pPr>
  </w:style>
  <w:style w:type="character" w:customStyle="1" w:styleId="266">
    <w:name w:val="页眉 Char2"/>
    <w:basedOn w:val="53"/>
    <w:autoRedefine/>
    <w:qFormat/>
    <w:uiPriority w:val="99"/>
    <w:rPr>
      <w:rFonts w:ascii="Times New Roman" w:hAnsi="Times New Roman" w:eastAsia="宋体" w:cs="Times New Roman"/>
      <w:sz w:val="18"/>
      <w:szCs w:val="18"/>
    </w:rPr>
  </w:style>
  <w:style w:type="character" w:customStyle="1" w:styleId="267">
    <w:name w:val="页脚 Char1"/>
    <w:basedOn w:val="53"/>
    <w:autoRedefine/>
    <w:qFormat/>
    <w:uiPriority w:val="99"/>
    <w:rPr>
      <w:rFonts w:ascii="Times New Roman" w:hAnsi="Times New Roman" w:eastAsia="宋体" w:cs="Times New Roman"/>
      <w:sz w:val="18"/>
      <w:szCs w:val="18"/>
    </w:rPr>
  </w:style>
  <w:style w:type="paragraph" w:customStyle="1" w:styleId="268">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9">
    <w:name w:val="批注文字 字符"/>
    <w:basedOn w:val="53"/>
    <w:autoRedefine/>
    <w:qFormat/>
    <w:uiPriority w:val="99"/>
    <w:rPr>
      <w:rFonts w:ascii="Times New Roman" w:hAnsi="Times New Roman" w:eastAsia="宋体" w:cs="Times New Roman"/>
      <w:szCs w:val="24"/>
    </w:rPr>
  </w:style>
  <w:style w:type="character" w:customStyle="1" w:styleId="270">
    <w:name w:val="文档结构图 Char1"/>
    <w:basedOn w:val="53"/>
    <w:autoRedefine/>
    <w:qFormat/>
    <w:uiPriority w:val="0"/>
    <w:rPr>
      <w:rFonts w:ascii="宋体" w:hAnsi="Times New Roman" w:eastAsia="宋体" w:cs="Times New Roman"/>
      <w:sz w:val="18"/>
      <w:szCs w:val="18"/>
    </w:rPr>
  </w:style>
  <w:style w:type="character" w:customStyle="1" w:styleId="271">
    <w:name w:val="批注主题 Char1"/>
    <w:basedOn w:val="109"/>
    <w:autoRedefine/>
    <w:qFormat/>
    <w:uiPriority w:val="0"/>
    <w:rPr>
      <w:rFonts w:ascii="Times New Roman" w:hAnsi="Times New Roman" w:eastAsia="宋体" w:cs="Times New Roman"/>
      <w:b/>
      <w:bCs/>
      <w:szCs w:val="24"/>
    </w:rPr>
  </w:style>
  <w:style w:type="character" w:customStyle="1" w:styleId="272">
    <w:name w:val="批注框文本 Char1"/>
    <w:basedOn w:val="53"/>
    <w:autoRedefine/>
    <w:qFormat/>
    <w:uiPriority w:val="0"/>
    <w:rPr>
      <w:rFonts w:ascii="Times New Roman" w:hAnsi="Times New Roman" w:eastAsia="宋体" w:cs="Times New Roman"/>
      <w:sz w:val="18"/>
      <w:szCs w:val="18"/>
    </w:rPr>
  </w:style>
  <w:style w:type="character" w:customStyle="1" w:styleId="273">
    <w:name w:val="标题 1 Char1"/>
    <w:basedOn w:val="53"/>
    <w:autoRedefine/>
    <w:qFormat/>
    <w:uiPriority w:val="0"/>
    <w:rPr>
      <w:b/>
      <w:bCs/>
      <w:kern w:val="44"/>
      <w:sz w:val="44"/>
      <w:szCs w:val="44"/>
    </w:rPr>
  </w:style>
  <w:style w:type="character" w:customStyle="1" w:styleId="274">
    <w:name w:val="标题 2 Char1"/>
    <w:basedOn w:val="53"/>
    <w:autoRedefine/>
    <w:qFormat/>
    <w:uiPriority w:val="0"/>
    <w:rPr>
      <w:rFonts w:asciiTheme="majorHAnsi" w:hAnsiTheme="majorHAnsi" w:eastAsiaTheme="majorEastAsia" w:cstheme="majorBidi"/>
      <w:b/>
      <w:bCs/>
      <w:kern w:val="2"/>
      <w:sz w:val="32"/>
      <w:szCs w:val="32"/>
    </w:rPr>
  </w:style>
  <w:style w:type="character" w:customStyle="1" w:styleId="275">
    <w:name w:val="标题 3 Char1"/>
    <w:basedOn w:val="53"/>
    <w:autoRedefine/>
    <w:qFormat/>
    <w:uiPriority w:val="99"/>
    <w:rPr>
      <w:rFonts w:ascii="宋体" w:hAnsi="Arial"/>
      <w:b/>
      <w:kern w:val="2"/>
      <w:sz w:val="28"/>
    </w:rPr>
  </w:style>
  <w:style w:type="character" w:customStyle="1" w:styleId="276">
    <w:name w:val="Char Char3"/>
    <w:autoRedefine/>
    <w:qFormat/>
    <w:uiPriority w:val="0"/>
    <w:rPr>
      <w:rFonts w:hint="eastAsia" w:ascii="宋体" w:hAnsi="宋体" w:eastAsia="宋体"/>
      <w:kern w:val="2"/>
      <w:sz w:val="21"/>
      <w:szCs w:val="24"/>
      <w:lang w:val="en-US" w:eastAsia="zh-CN" w:bidi="ar-SA"/>
    </w:rPr>
  </w:style>
  <w:style w:type="character" w:customStyle="1" w:styleId="277">
    <w:name w:val="正文－段落 Char Char"/>
    <w:link w:val="278"/>
    <w:autoRedefine/>
    <w:qFormat/>
    <w:uiPriority w:val="0"/>
    <w:rPr>
      <w:rFonts w:eastAsia="Times New Roman"/>
      <w:sz w:val="24"/>
      <w:szCs w:val="24"/>
    </w:rPr>
  </w:style>
  <w:style w:type="paragraph" w:customStyle="1" w:styleId="278">
    <w:name w:val="正文－段落"/>
    <w:link w:val="277"/>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9">
    <w:name w:val="纯文本 Char1"/>
    <w:autoRedefine/>
    <w:qFormat/>
    <w:uiPriority w:val="0"/>
    <w:rPr>
      <w:rFonts w:ascii="宋体" w:hAnsi="Courier New"/>
      <w:spacing w:val="-8"/>
      <w:kern w:val="2"/>
      <w:sz w:val="24"/>
    </w:rPr>
  </w:style>
  <w:style w:type="character" w:customStyle="1" w:styleId="280">
    <w:name w:val="日期 Char"/>
    <w:autoRedefine/>
    <w:qFormat/>
    <w:uiPriority w:val="0"/>
    <w:rPr>
      <w:rFonts w:ascii="宋体" w:hAnsi="宋体"/>
      <w:sz w:val="24"/>
    </w:rPr>
  </w:style>
  <w:style w:type="character" w:customStyle="1" w:styleId="281">
    <w:name w:val="Char Char9"/>
    <w:autoRedefine/>
    <w:qFormat/>
    <w:uiPriority w:val="0"/>
    <w:rPr>
      <w:rFonts w:hint="default" w:ascii="Calibri" w:hAnsi="Calibri" w:eastAsia="宋体"/>
      <w:sz w:val="18"/>
      <w:szCs w:val="18"/>
      <w:lang w:bidi="ar-SA"/>
    </w:rPr>
  </w:style>
  <w:style w:type="character" w:customStyle="1" w:styleId="282">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3">
    <w:name w:val="HTML 预设格式 Char"/>
    <w:autoRedefine/>
    <w:qFormat/>
    <w:uiPriority w:val="0"/>
    <w:rPr>
      <w:rFonts w:ascii="黑体" w:hAnsi="Courier New" w:eastAsia="黑体" w:cs="Courier New"/>
    </w:rPr>
  </w:style>
  <w:style w:type="character" w:customStyle="1" w:styleId="284">
    <w:name w:val="1.5倍行距 Char Char"/>
    <w:link w:val="285"/>
    <w:autoRedefine/>
    <w:qFormat/>
    <w:uiPriority w:val="0"/>
    <w:rPr>
      <w:kern w:val="2"/>
      <w:sz w:val="21"/>
      <w:szCs w:val="24"/>
    </w:rPr>
  </w:style>
  <w:style w:type="paragraph" w:customStyle="1" w:styleId="285">
    <w:name w:val="1.5倍行距"/>
    <w:basedOn w:val="1"/>
    <w:link w:val="284"/>
    <w:autoRedefine/>
    <w:qFormat/>
    <w:uiPriority w:val="0"/>
    <w:pPr>
      <w:spacing w:line="360" w:lineRule="auto"/>
      <w:ind w:firstLine="420"/>
    </w:pPr>
  </w:style>
  <w:style w:type="character" w:customStyle="1" w:styleId="286">
    <w:name w:val="H2 Char1"/>
    <w:autoRedefine/>
    <w:qFormat/>
    <w:uiPriority w:val="0"/>
    <w:rPr>
      <w:rFonts w:ascii="Cambria" w:hAnsi="Cambria"/>
      <w:b/>
      <w:bCs/>
      <w:sz w:val="32"/>
      <w:szCs w:val="32"/>
    </w:rPr>
  </w:style>
  <w:style w:type="character" w:customStyle="1" w:styleId="287">
    <w:name w:val="Char Char4"/>
    <w:autoRedefine/>
    <w:qFormat/>
    <w:uiPriority w:val="0"/>
    <w:rPr>
      <w:rFonts w:hint="default" w:ascii="Calibri" w:hAnsi="Calibri" w:eastAsia="宋体"/>
      <w:kern w:val="2"/>
      <w:sz w:val="21"/>
      <w:szCs w:val="22"/>
      <w:lang w:val="en-US" w:eastAsia="zh-CN" w:bidi="ar-SA"/>
    </w:rPr>
  </w:style>
  <w:style w:type="character" w:customStyle="1" w:styleId="288">
    <w:name w:val="正文文本缩进 2 Char"/>
    <w:autoRedefine/>
    <w:qFormat/>
    <w:uiPriority w:val="0"/>
    <w:rPr>
      <w:kern w:val="2"/>
      <w:sz w:val="21"/>
    </w:rPr>
  </w:style>
  <w:style w:type="character" w:customStyle="1" w:styleId="289">
    <w:name w:val="签名 Char1"/>
    <w:link w:val="34"/>
    <w:autoRedefine/>
    <w:qFormat/>
    <w:uiPriority w:val="0"/>
    <w:rPr>
      <w:rFonts w:eastAsia="楷体_GB2312"/>
      <w:kern w:val="2"/>
      <w:sz w:val="21"/>
    </w:rPr>
  </w:style>
  <w:style w:type="character" w:customStyle="1" w:styleId="290">
    <w:name w:val="标题2 Char"/>
    <w:link w:val="291"/>
    <w:autoRedefine/>
    <w:qFormat/>
    <w:uiPriority w:val="0"/>
    <w:rPr>
      <w:rFonts w:ascii="仿宋" w:hAnsi="仿宋" w:eastAsia="仿宋"/>
      <w:b/>
      <w:bCs/>
      <w:color w:val="000000"/>
      <w:kern w:val="2"/>
      <w:sz w:val="24"/>
      <w:szCs w:val="24"/>
    </w:rPr>
  </w:style>
  <w:style w:type="paragraph" w:customStyle="1" w:styleId="291">
    <w:name w:val="标题2"/>
    <w:basedOn w:val="292"/>
    <w:link w:val="290"/>
    <w:autoRedefine/>
    <w:qFormat/>
    <w:uiPriority w:val="0"/>
    <w:pPr>
      <w:tabs>
        <w:tab w:val="left" w:pos="425"/>
        <w:tab w:val="left" w:pos="709"/>
        <w:tab w:val="left" w:pos="851"/>
        <w:tab w:val="left" w:pos="1419"/>
      </w:tabs>
    </w:pPr>
    <w:rPr>
      <w:szCs w:val="24"/>
    </w:rPr>
  </w:style>
  <w:style w:type="paragraph" w:customStyle="1" w:styleId="292">
    <w:name w:val="三级"/>
    <w:basedOn w:val="3"/>
    <w:link w:val="293"/>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3">
    <w:name w:val="三级 Char"/>
    <w:link w:val="292"/>
    <w:autoRedefine/>
    <w:qFormat/>
    <w:uiPriority w:val="0"/>
    <w:rPr>
      <w:rFonts w:ascii="仿宋" w:hAnsi="仿宋" w:eastAsia="仿宋"/>
      <w:b/>
      <w:bCs/>
      <w:color w:val="000000"/>
      <w:kern w:val="2"/>
      <w:sz w:val="32"/>
      <w:szCs w:val="32"/>
    </w:rPr>
  </w:style>
  <w:style w:type="character" w:customStyle="1" w:styleId="294">
    <w:name w:val="正文首行缩进 2 Char"/>
    <w:link w:val="50"/>
    <w:autoRedefine/>
    <w:qFormat/>
    <w:uiPriority w:val="0"/>
    <w:rPr>
      <w:sz w:val="24"/>
      <w:szCs w:val="24"/>
    </w:rPr>
  </w:style>
  <w:style w:type="character" w:customStyle="1" w:styleId="295">
    <w:name w:val="正文首行缩进 Char Char Char1"/>
    <w:autoRedefine/>
    <w:qFormat/>
    <w:uiPriority w:val="0"/>
    <w:rPr>
      <w:rFonts w:ascii="Times New Roman" w:hAnsi="Times New Roman"/>
      <w:kern w:val="2"/>
      <w:sz w:val="24"/>
      <w:szCs w:val="24"/>
    </w:rPr>
  </w:style>
  <w:style w:type="character" w:customStyle="1" w:styleId="296">
    <w:name w:val="标题 Char1"/>
    <w:autoRedefine/>
    <w:qFormat/>
    <w:uiPriority w:val="0"/>
    <w:rPr>
      <w:rFonts w:ascii="Arial" w:hAnsi="Arial"/>
      <w:b/>
      <w:kern w:val="2"/>
      <w:sz w:val="36"/>
      <w:szCs w:val="24"/>
    </w:rPr>
  </w:style>
  <w:style w:type="character" w:customStyle="1" w:styleId="297">
    <w:name w:val="正文文本 字符"/>
    <w:autoRedefine/>
    <w:qFormat/>
    <w:uiPriority w:val="0"/>
    <w:rPr>
      <w:rFonts w:eastAsia="宋体"/>
      <w:kern w:val="2"/>
      <w:sz w:val="21"/>
      <w:szCs w:val="24"/>
      <w:lang w:bidi="ar-SA"/>
    </w:rPr>
  </w:style>
  <w:style w:type="character" w:customStyle="1" w:styleId="298">
    <w:name w:val="正文文本缩进 Char"/>
    <w:autoRedefine/>
    <w:qFormat/>
    <w:uiPriority w:val="0"/>
    <w:rPr>
      <w:kern w:val="2"/>
      <w:sz w:val="24"/>
    </w:rPr>
  </w:style>
  <w:style w:type="character" w:customStyle="1" w:styleId="299">
    <w:name w:val="题注 Char1"/>
    <w:link w:val="16"/>
    <w:autoRedefine/>
    <w:qFormat/>
    <w:uiPriority w:val="0"/>
    <w:rPr>
      <w:rFonts w:ascii="Cambria" w:hAnsi="Cambria" w:eastAsia="黑体"/>
      <w:kern w:val="2"/>
      <w:sz w:val="21"/>
      <w:szCs w:val="24"/>
    </w:rPr>
  </w:style>
  <w:style w:type="character" w:customStyle="1" w:styleId="300">
    <w:name w:val="bt Char1"/>
    <w:autoRedefine/>
    <w:qFormat/>
    <w:uiPriority w:val="0"/>
    <w:rPr>
      <w:rFonts w:ascii="Times New Roman" w:hAnsi="Times New Roman"/>
      <w:kern w:val="2"/>
      <w:sz w:val="24"/>
      <w:szCs w:val="24"/>
    </w:rPr>
  </w:style>
  <w:style w:type="character" w:customStyle="1" w:styleId="301">
    <w:name w:val="Char Char18"/>
    <w:autoRedefine/>
    <w:qFormat/>
    <w:uiPriority w:val="0"/>
    <w:rPr>
      <w:rFonts w:hint="default" w:ascii="Cambria" w:hAnsi="Cambria" w:eastAsia="宋体"/>
      <w:b/>
      <w:bCs/>
      <w:sz w:val="32"/>
      <w:szCs w:val="32"/>
      <w:lang w:bidi="ar-SA"/>
    </w:rPr>
  </w:style>
  <w:style w:type="character" w:customStyle="1" w:styleId="302">
    <w:name w:val="四级 Char"/>
    <w:link w:val="303"/>
    <w:autoRedefine/>
    <w:qFormat/>
    <w:uiPriority w:val="0"/>
    <w:rPr>
      <w:rFonts w:ascii="仿宋" w:hAnsi="仿宋" w:eastAsia="仿宋"/>
      <w:bCs/>
      <w:kern w:val="2"/>
      <w:sz w:val="32"/>
      <w:szCs w:val="32"/>
    </w:rPr>
  </w:style>
  <w:style w:type="paragraph" w:customStyle="1" w:styleId="303">
    <w:name w:val="四级"/>
    <w:basedOn w:val="5"/>
    <w:link w:val="302"/>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4">
    <w:name w:val="cnfont1"/>
    <w:basedOn w:val="53"/>
    <w:autoRedefine/>
    <w:qFormat/>
    <w:uiPriority w:val="0"/>
  </w:style>
  <w:style w:type="character" w:customStyle="1" w:styleId="305">
    <w:name w:val="p141"/>
    <w:autoRedefine/>
    <w:qFormat/>
    <w:uiPriority w:val="0"/>
    <w:rPr>
      <w:sz w:val="21"/>
      <w:szCs w:val="21"/>
    </w:rPr>
  </w:style>
  <w:style w:type="character" w:customStyle="1" w:styleId="306">
    <w:name w:val="正文文本缩进 3 Char"/>
    <w:autoRedefine/>
    <w:qFormat/>
    <w:uiPriority w:val="0"/>
    <w:rPr>
      <w:kern w:val="2"/>
      <w:sz w:val="21"/>
    </w:rPr>
  </w:style>
  <w:style w:type="character" w:customStyle="1" w:styleId="307">
    <w:name w:val="Char Char13"/>
    <w:autoRedefine/>
    <w:qFormat/>
    <w:uiPriority w:val="0"/>
    <w:rPr>
      <w:rFonts w:ascii="Cambria" w:hAnsi="Cambria" w:eastAsia="宋体"/>
      <w:sz w:val="24"/>
      <w:szCs w:val="24"/>
      <w:lang w:bidi="ar-SA"/>
    </w:rPr>
  </w:style>
  <w:style w:type="character" w:customStyle="1" w:styleId="308">
    <w:name w:val="正文文本 2 Char1"/>
    <w:link w:val="44"/>
    <w:autoRedefine/>
    <w:qFormat/>
    <w:uiPriority w:val="0"/>
    <w:rPr>
      <w:kern w:val="2"/>
      <w:sz w:val="28"/>
    </w:rPr>
  </w:style>
  <w:style w:type="character" w:customStyle="1" w:styleId="309">
    <w:name w:val="Char Char5"/>
    <w:autoRedefine/>
    <w:qFormat/>
    <w:uiPriority w:val="0"/>
    <w:rPr>
      <w:rFonts w:ascii="宋体" w:hAnsi="宋体" w:eastAsia="宋体"/>
      <w:b/>
      <w:bCs/>
      <w:szCs w:val="24"/>
      <w:lang w:bidi="ar-SA"/>
    </w:rPr>
  </w:style>
  <w:style w:type="character" w:customStyle="1" w:styleId="310">
    <w:name w:val="正文文本 2 Char"/>
    <w:autoRedefine/>
    <w:qFormat/>
    <w:uiPriority w:val="0"/>
    <w:rPr>
      <w:kern w:val="2"/>
      <w:sz w:val="28"/>
    </w:rPr>
  </w:style>
  <w:style w:type="character" w:customStyle="1" w:styleId="311">
    <w:name w:val="Char Char6"/>
    <w:autoRedefine/>
    <w:qFormat/>
    <w:uiPriority w:val="0"/>
    <w:rPr>
      <w:rFonts w:ascii="宋体" w:hAnsi="宋体" w:eastAsia="宋体"/>
      <w:szCs w:val="24"/>
      <w:lang w:bidi="ar-SA"/>
    </w:rPr>
  </w:style>
  <w:style w:type="character" w:customStyle="1" w:styleId="312">
    <w:name w:val="Char Char15"/>
    <w:autoRedefine/>
    <w:qFormat/>
    <w:uiPriority w:val="0"/>
    <w:rPr>
      <w:rFonts w:hint="default" w:ascii="Cambria" w:hAnsi="Cambria" w:eastAsia="宋体"/>
      <w:b/>
      <w:bCs/>
      <w:sz w:val="24"/>
      <w:szCs w:val="24"/>
      <w:lang w:bidi="ar-SA"/>
    </w:rPr>
  </w:style>
  <w:style w:type="character" w:customStyle="1" w:styleId="313">
    <w:name w:val="H4 Char"/>
    <w:autoRedefine/>
    <w:qFormat/>
    <w:uiPriority w:val="0"/>
    <w:rPr>
      <w:rFonts w:ascii="Cambria" w:hAnsi="Cambria" w:eastAsia="仿宋_GB2312"/>
      <w:b/>
      <w:bCs/>
      <w:sz w:val="32"/>
      <w:szCs w:val="28"/>
    </w:rPr>
  </w:style>
  <w:style w:type="character" w:customStyle="1" w:styleId="314">
    <w:name w:val="Char Char20"/>
    <w:autoRedefine/>
    <w:qFormat/>
    <w:uiPriority w:val="0"/>
    <w:rPr>
      <w:rFonts w:eastAsia="宋体"/>
      <w:b/>
      <w:kern w:val="2"/>
      <w:sz w:val="28"/>
      <w:lang w:bidi="ar-SA"/>
    </w:rPr>
  </w:style>
  <w:style w:type="character" w:customStyle="1" w:styleId="315">
    <w:name w:val="正文文本缩进 3 Char1"/>
    <w:link w:val="41"/>
    <w:autoRedefine/>
    <w:qFormat/>
    <w:uiPriority w:val="0"/>
    <w:rPr>
      <w:kern w:val="2"/>
      <w:sz w:val="21"/>
    </w:rPr>
  </w:style>
  <w:style w:type="character" w:customStyle="1" w:styleId="316">
    <w:name w:val="Char Char16"/>
    <w:autoRedefine/>
    <w:qFormat/>
    <w:uiPriority w:val="0"/>
    <w:rPr>
      <w:rFonts w:hint="eastAsia" w:ascii="仿宋_GB2313" w:hAnsi="仿宋_GB2313" w:eastAsia="仿宋_GB2312"/>
      <w:b/>
      <w:bCs/>
      <w:sz w:val="32"/>
      <w:szCs w:val="28"/>
      <w:lang w:bidi="ar-SA"/>
    </w:rPr>
  </w:style>
  <w:style w:type="character" w:customStyle="1" w:styleId="317">
    <w:name w:val="Char Char7"/>
    <w:autoRedefine/>
    <w:qFormat/>
    <w:uiPriority w:val="0"/>
    <w:rPr>
      <w:rFonts w:ascii="宋体" w:hAnsi="宋体" w:eastAsia="宋体"/>
      <w:sz w:val="24"/>
      <w:szCs w:val="24"/>
      <w:lang w:bidi="ar-SA"/>
    </w:rPr>
  </w:style>
  <w:style w:type="character" w:customStyle="1" w:styleId="318">
    <w:name w:val="日期 Char1"/>
    <w:link w:val="29"/>
    <w:autoRedefine/>
    <w:qFormat/>
    <w:uiPriority w:val="0"/>
    <w:rPr>
      <w:rFonts w:ascii="宋体" w:hAnsi="宋体"/>
      <w:kern w:val="2"/>
      <w:sz w:val="24"/>
      <w:szCs w:val="24"/>
    </w:rPr>
  </w:style>
  <w:style w:type="character" w:customStyle="1" w:styleId="319">
    <w:name w:val="Char Char12"/>
    <w:autoRedefine/>
    <w:qFormat/>
    <w:uiPriority w:val="0"/>
    <w:rPr>
      <w:rFonts w:hint="default" w:ascii="Cambria" w:hAnsi="Cambria" w:eastAsia="宋体"/>
      <w:szCs w:val="21"/>
      <w:lang w:bidi="ar-SA"/>
    </w:rPr>
  </w:style>
  <w:style w:type="character" w:customStyle="1" w:styleId="320">
    <w:name w:val="标题 4 Char"/>
    <w:autoRedefine/>
    <w:qFormat/>
    <w:uiPriority w:val="0"/>
    <w:rPr>
      <w:rFonts w:ascii="Arial" w:hAnsi="Arial" w:eastAsia="黑体"/>
      <w:b/>
      <w:kern w:val="2"/>
      <w:sz w:val="24"/>
    </w:rPr>
  </w:style>
  <w:style w:type="character" w:customStyle="1" w:styleId="321">
    <w:name w:val="Char Char2"/>
    <w:autoRedefine/>
    <w:qFormat/>
    <w:uiPriority w:val="0"/>
    <w:rPr>
      <w:rFonts w:ascii="宋体" w:hAnsi="宋体" w:eastAsia="宋体"/>
      <w:kern w:val="2"/>
      <w:sz w:val="24"/>
      <w:szCs w:val="24"/>
      <w:lang w:val="en-US" w:eastAsia="zh-CN" w:bidi="ar-SA"/>
    </w:rPr>
  </w:style>
  <w:style w:type="character" w:customStyle="1" w:styleId="322">
    <w:name w:val="*正文 Char"/>
    <w:link w:val="323"/>
    <w:autoRedefine/>
    <w:qFormat/>
    <w:uiPriority w:val="0"/>
    <w:rPr>
      <w:rFonts w:ascii="宋体" w:hAnsi="宋体"/>
      <w:sz w:val="24"/>
      <w:szCs w:val="24"/>
    </w:rPr>
  </w:style>
  <w:style w:type="paragraph" w:customStyle="1" w:styleId="323">
    <w:name w:val="*正文"/>
    <w:basedOn w:val="1"/>
    <w:link w:val="322"/>
    <w:autoRedefine/>
    <w:qFormat/>
    <w:uiPriority w:val="0"/>
    <w:pPr>
      <w:spacing w:line="360" w:lineRule="auto"/>
      <w:ind w:firstLine="200" w:firstLineChars="200"/>
    </w:pPr>
    <w:rPr>
      <w:rFonts w:ascii="宋体" w:hAnsi="宋体"/>
      <w:kern w:val="0"/>
      <w:sz w:val="24"/>
    </w:rPr>
  </w:style>
  <w:style w:type="character" w:customStyle="1" w:styleId="324">
    <w:name w:val="页脚 字符1"/>
    <w:autoRedefine/>
    <w:qFormat/>
    <w:uiPriority w:val="0"/>
    <w:rPr>
      <w:rFonts w:eastAsia="宋体"/>
      <w:kern w:val="2"/>
      <w:sz w:val="18"/>
      <w:lang w:bidi="ar-SA"/>
    </w:rPr>
  </w:style>
  <w:style w:type="character" w:customStyle="1" w:styleId="325">
    <w:name w:val="GP正文[858D7CFB-ED40-4347-BF05-701D383B685F]"/>
    <w:link w:val="326"/>
    <w:autoRedefine/>
    <w:qFormat/>
    <w:uiPriority w:val="0"/>
    <w:rPr>
      <w:rFonts w:ascii="宋体" w:hAnsi="宋体"/>
      <w:kern w:val="2"/>
      <w:sz w:val="24"/>
      <w:szCs w:val="24"/>
    </w:rPr>
  </w:style>
  <w:style w:type="paragraph" w:customStyle="1" w:styleId="326">
    <w:name w:val="GP正文"/>
    <w:basedOn w:val="1"/>
    <w:link w:val="325"/>
    <w:autoRedefine/>
    <w:qFormat/>
    <w:uiPriority w:val="0"/>
    <w:pPr>
      <w:spacing w:line="360" w:lineRule="auto"/>
      <w:ind w:firstLine="200" w:firstLineChars="200"/>
      <w:jc w:val="left"/>
    </w:pPr>
    <w:rPr>
      <w:rFonts w:ascii="宋体" w:hAnsi="宋体"/>
      <w:sz w:val="24"/>
    </w:rPr>
  </w:style>
  <w:style w:type="character" w:customStyle="1" w:styleId="327">
    <w:name w:val="Char Char14"/>
    <w:autoRedefine/>
    <w:qFormat/>
    <w:uiPriority w:val="0"/>
    <w:rPr>
      <w:rFonts w:ascii="Calibri" w:hAnsi="Calibri" w:eastAsia="宋体"/>
      <w:b/>
      <w:bCs/>
      <w:sz w:val="24"/>
      <w:szCs w:val="24"/>
      <w:lang w:bidi="ar-SA"/>
    </w:rPr>
  </w:style>
  <w:style w:type="character" w:customStyle="1" w:styleId="328">
    <w:name w:val="Char Char19"/>
    <w:autoRedefine/>
    <w:qFormat/>
    <w:uiPriority w:val="0"/>
    <w:rPr>
      <w:rFonts w:ascii="Arial" w:hAnsi="Arial" w:eastAsia="黑体"/>
      <w:b/>
      <w:kern w:val="2"/>
      <w:sz w:val="24"/>
      <w:lang w:bidi="ar-SA"/>
    </w:rPr>
  </w:style>
  <w:style w:type="character" w:customStyle="1" w:styleId="329">
    <w:name w:val="正文文本 Char1"/>
    <w:autoRedefine/>
    <w:qFormat/>
    <w:uiPriority w:val="0"/>
    <w:rPr>
      <w:kern w:val="2"/>
      <w:sz w:val="21"/>
      <w:szCs w:val="24"/>
    </w:rPr>
  </w:style>
  <w:style w:type="character" w:customStyle="1" w:styleId="330">
    <w:name w:val="二级 Char"/>
    <w:link w:val="331"/>
    <w:autoRedefine/>
    <w:qFormat/>
    <w:uiPriority w:val="0"/>
    <w:rPr>
      <w:rFonts w:ascii="仿宋" w:hAnsi="仿宋" w:eastAsia="仿宋"/>
      <w:b/>
      <w:bCs/>
      <w:spacing w:val="24"/>
      <w:kern w:val="2"/>
      <w:sz w:val="32"/>
      <w:szCs w:val="32"/>
    </w:rPr>
  </w:style>
  <w:style w:type="paragraph" w:customStyle="1" w:styleId="331">
    <w:name w:val="二级"/>
    <w:basedOn w:val="4"/>
    <w:link w:val="330"/>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2">
    <w:name w:val="签名 Char"/>
    <w:autoRedefine/>
    <w:qFormat/>
    <w:uiPriority w:val="0"/>
    <w:rPr>
      <w:rFonts w:eastAsia="楷体_GB2312"/>
      <w:kern w:val="2"/>
      <w:sz w:val="21"/>
    </w:rPr>
  </w:style>
  <w:style w:type="character" w:customStyle="1" w:styleId="333">
    <w:name w:val="Char Char"/>
    <w:autoRedefine/>
    <w:qFormat/>
    <w:uiPriority w:val="0"/>
    <w:rPr>
      <w:rFonts w:hint="eastAsia" w:ascii="宋体" w:hAnsi="Courier New" w:eastAsia="宋体"/>
      <w:spacing w:val="-8"/>
      <w:kern w:val="2"/>
      <w:sz w:val="24"/>
      <w:lang w:val="en-US" w:eastAsia="zh-CN" w:bidi="ar-SA"/>
    </w:rPr>
  </w:style>
  <w:style w:type="character" w:customStyle="1" w:styleId="334">
    <w:name w:val="Char Char11"/>
    <w:autoRedefine/>
    <w:qFormat/>
    <w:uiPriority w:val="0"/>
    <w:rPr>
      <w:rFonts w:hint="default" w:ascii="Calibri" w:hAnsi="Calibri" w:eastAsia="宋体"/>
      <w:sz w:val="18"/>
      <w:szCs w:val="18"/>
      <w:lang w:bidi="ar-SA"/>
    </w:rPr>
  </w:style>
  <w:style w:type="character" w:customStyle="1" w:styleId="335">
    <w:name w:val="页眉 字符1"/>
    <w:autoRedefine/>
    <w:qFormat/>
    <w:uiPriority w:val="0"/>
    <w:rPr>
      <w:rFonts w:eastAsia="宋体"/>
      <w:kern w:val="2"/>
      <w:sz w:val="18"/>
      <w:szCs w:val="18"/>
      <w:lang w:bidi="ar-SA"/>
    </w:rPr>
  </w:style>
  <w:style w:type="character" w:customStyle="1" w:styleId="336">
    <w:name w:val="正文首行缩进 Char1"/>
    <w:autoRedefine/>
    <w:qFormat/>
    <w:uiPriority w:val="0"/>
    <w:rPr>
      <w:kern w:val="2"/>
      <w:sz w:val="21"/>
    </w:rPr>
  </w:style>
  <w:style w:type="character" w:customStyle="1" w:styleId="337">
    <w:name w:val="页眉 Char1"/>
    <w:autoRedefine/>
    <w:qFormat/>
    <w:uiPriority w:val="0"/>
    <w:rPr>
      <w:rFonts w:eastAsia="宋体"/>
      <w:kern w:val="2"/>
      <w:sz w:val="18"/>
      <w:szCs w:val="18"/>
      <w:lang w:val="en-US" w:eastAsia="zh-CN" w:bidi="ar-SA"/>
    </w:rPr>
  </w:style>
  <w:style w:type="character" w:customStyle="1" w:styleId="338">
    <w:name w:val="题注 Char"/>
    <w:autoRedefine/>
    <w:qFormat/>
    <w:uiPriority w:val="0"/>
    <w:rPr>
      <w:rFonts w:ascii="Cambria" w:hAnsi="Cambria" w:eastAsia="黑体"/>
      <w:kern w:val="2"/>
      <w:lang w:bidi="ar-SA"/>
    </w:rPr>
  </w:style>
  <w:style w:type="character" w:customStyle="1" w:styleId="339">
    <w:name w:val="样式 标题 3 + 小四 Char"/>
    <w:autoRedefine/>
    <w:qFormat/>
    <w:uiPriority w:val="0"/>
    <w:rPr>
      <w:rFonts w:ascii="宋体" w:hAnsi="宋体" w:cs="Arial"/>
      <w:b/>
      <w:bCs/>
      <w:smallCaps/>
      <w:sz w:val="24"/>
      <w:lang w:val="en-US" w:eastAsia="zh-CN"/>
    </w:rPr>
  </w:style>
  <w:style w:type="character" w:customStyle="1" w:styleId="340">
    <w:name w:val="unnamed21"/>
    <w:autoRedefine/>
    <w:qFormat/>
    <w:uiPriority w:val="0"/>
    <w:rPr>
      <w:color w:val="CC6633"/>
      <w:u w:val="none"/>
    </w:rPr>
  </w:style>
  <w:style w:type="character" w:customStyle="1" w:styleId="341">
    <w:name w:val="16"/>
    <w:autoRedefine/>
    <w:qFormat/>
    <w:uiPriority w:val="0"/>
    <w:rPr>
      <w:rFonts w:hint="eastAsia" w:ascii="宋体" w:hAnsi="宋体" w:eastAsia="宋体" w:cs="Arial"/>
      <w:b/>
      <w:bCs/>
      <w:smallCaps/>
      <w:kern w:val="2"/>
      <w:sz w:val="24"/>
      <w:szCs w:val="24"/>
    </w:rPr>
  </w:style>
  <w:style w:type="character" w:customStyle="1" w:styleId="342">
    <w:name w:val="正文文本缩进 字符"/>
    <w:autoRedefine/>
    <w:qFormat/>
    <w:uiPriority w:val="0"/>
    <w:rPr>
      <w:rFonts w:eastAsia="宋体"/>
      <w:kern w:val="2"/>
      <w:sz w:val="24"/>
      <w:lang w:bidi="ar-SA"/>
    </w:rPr>
  </w:style>
  <w:style w:type="character" w:customStyle="1" w:styleId="343">
    <w:name w:val="Char Char8"/>
    <w:autoRedefine/>
    <w:qFormat/>
    <w:uiPriority w:val="0"/>
    <w:rPr>
      <w:rFonts w:hint="default" w:ascii="Calibri" w:hAnsi="Calibri" w:eastAsia="宋体"/>
      <w:kern w:val="2"/>
      <w:sz w:val="21"/>
      <w:szCs w:val="22"/>
      <w:lang w:val="en-US" w:eastAsia="zh-CN" w:bidi="ar-SA"/>
    </w:rPr>
  </w:style>
  <w:style w:type="character" w:customStyle="1" w:styleId="344">
    <w:name w:val="H3 Char1"/>
    <w:autoRedefine/>
    <w:qFormat/>
    <w:uiPriority w:val="0"/>
    <w:rPr>
      <w:rFonts w:ascii="仿宋_GB2312" w:eastAsia="仿宋_GB2312"/>
      <w:b/>
      <w:bCs/>
      <w:color w:val="000000"/>
      <w:kern w:val="2"/>
      <w:sz w:val="32"/>
      <w:szCs w:val="32"/>
    </w:rPr>
  </w:style>
  <w:style w:type="character" w:customStyle="1" w:styleId="345">
    <w:name w:val="Char Char1"/>
    <w:autoRedefine/>
    <w:qFormat/>
    <w:uiPriority w:val="0"/>
    <w:rPr>
      <w:rFonts w:hint="eastAsia" w:ascii="宋体" w:hAnsi="宋体" w:eastAsia="宋体"/>
      <w:kern w:val="2"/>
      <w:sz w:val="21"/>
      <w:szCs w:val="24"/>
      <w:lang w:val="en-US" w:eastAsia="zh-CN" w:bidi="ar-SA"/>
    </w:rPr>
  </w:style>
  <w:style w:type="character" w:customStyle="1" w:styleId="346">
    <w:name w:val="Char Char10"/>
    <w:autoRedefine/>
    <w:qFormat/>
    <w:uiPriority w:val="0"/>
    <w:rPr>
      <w:rFonts w:eastAsia="宋体"/>
      <w:kern w:val="2"/>
      <w:sz w:val="18"/>
      <w:szCs w:val="18"/>
      <w:lang w:val="en-US" w:eastAsia="zh-CN" w:bidi="ar-SA"/>
    </w:rPr>
  </w:style>
  <w:style w:type="character" w:customStyle="1" w:styleId="347">
    <w:name w:val="文档正文 Char"/>
    <w:link w:val="348"/>
    <w:autoRedefine/>
    <w:qFormat/>
    <w:uiPriority w:val="0"/>
    <w:rPr>
      <w:rFonts w:ascii="Arial" w:hAnsi="Arial" w:cs="Arial"/>
      <w:bCs/>
      <w:kern w:val="2"/>
      <w:sz w:val="24"/>
      <w:szCs w:val="24"/>
    </w:rPr>
  </w:style>
  <w:style w:type="paragraph" w:customStyle="1" w:styleId="348">
    <w:name w:val="文档正文"/>
    <w:basedOn w:val="1"/>
    <w:link w:val="347"/>
    <w:autoRedefine/>
    <w:qFormat/>
    <w:uiPriority w:val="0"/>
    <w:rPr>
      <w:rFonts w:ascii="Arial" w:hAnsi="Arial" w:cs="Arial"/>
      <w:bCs/>
      <w:sz w:val="24"/>
    </w:rPr>
  </w:style>
  <w:style w:type="character" w:customStyle="1" w:styleId="349">
    <w:name w:val="正文文本 2 Char2"/>
    <w:basedOn w:val="53"/>
    <w:autoRedefine/>
    <w:semiHidden/>
    <w:qFormat/>
    <w:uiPriority w:val="0"/>
    <w:rPr>
      <w:kern w:val="2"/>
      <w:sz w:val="21"/>
      <w:szCs w:val="24"/>
    </w:rPr>
  </w:style>
  <w:style w:type="character" w:customStyle="1" w:styleId="350">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1">
    <w:name w:val="正文首行缩进 2 Char1"/>
    <w:basedOn w:val="76"/>
    <w:autoRedefine/>
    <w:qFormat/>
    <w:uiPriority w:val="0"/>
    <w:rPr>
      <w:kern w:val="2"/>
      <w:sz w:val="21"/>
      <w:szCs w:val="24"/>
    </w:rPr>
  </w:style>
  <w:style w:type="character" w:customStyle="1" w:styleId="352">
    <w:name w:val="签名 Char2"/>
    <w:basedOn w:val="53"/>
    <w:autoRedefine/>
    <w:semiHidden/>
    <w:qFormat/>
    <w:uiPriority w:val="0"/>
    <w:rPr>
      <w:kern w:val="2"/>
      <w:sz w:val="21"/>
      <w:szCs w:val="24"/>
    </w:rPr>
  </w:style>
  <w:style w:type="character" w:customStyle="1" w:styleId="353">
    <w:name w:val="正文文本缩进 3 Char2"/>
    <w:basedOn w:val="53"/>
    <w:autoRedefine/>
    <w:semiHidden/>
    <w:qFormat/>
    <w:uiPriority w:val="0"/>
    <w:rPr>
      <w:kern w:val="2"/>
      <w:sz w:val="16"/>
      <w:szCs w:val="16"/>
    </w:rPr>
  </w:style>
  <w:style w:type="character" w:customStyle="1" w:styleId="354">
    <w:name w:val="日期 Char2"/>
    <w:basedOn w:val="53"/>
    <w:autoRedefine/>
    <w:semiHidden/>
    <w:qFormat/>
    <w:uiPriority w:val="0"/>
    <w:rPr>
      <w:kern w:val="2"/>
      <w:sz w:val="21"/>
      <w:szCs w:val="24"/>
    </w:rPr>
  </w:style>
  <w:style w:type="paragraph" w:customStyle="1" w:styleId="355">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6">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7">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8">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9">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60">
    <w:name w:val="Table Heading"/>
    <w:basedOn w:val="1"/>
    <w:autoRedefine/>
    <w:qFormat/>
    <w:uiPriority w:val="0"/>
    <w:pPr>
      <w:widowControl/>
      <w:jc w:val="center"/>
    </w:pPr>
    <w:rPr>
      <w:rFonts w:ascii="Arial" w:hAnsi="Arial"/>
      <w:b/>
      <w:kern w:val="0"/>
      <w:sz w:val="18"/>
      <w:szCs w:val="20"/>
    </w:rPr>
  </w:style>
  <w:style w:type="paragraph" w:customStyle="1" w:styleId="361">
    <w:name w:val="4"/>
    <w:basedOn w:val="1"/>
    <w:next w:val="1"/>
    <w:autoRedefine/>
    <w:qFormat/>
    <w:uiPriority w:val="0"/>
  </w:style>
  <w:style w:type="paragraph" w:customStyle="1" w:styleId="36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3">
    <w:name w:val="--规划正文"/>
    <w:basedOn w:val="1"/>
    <w:autoRedefine/>
    <w:qFormat/>
    <w:uiPriority w:val="0"/>
    <w:pPr>
      <w:spacing w:line="360" w:lineRule="auto"/>
      <w:ind w:firstLine="200" w:firstLineChars="200"/>
    </w:pPr>
    <w:rPr>
      <w:szCs w:val="20"/>
    </w:rPr>
  </w:style>
  <w:style w:type="paragraph" w:customStyle="1" w:styleId="364">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5">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6">
    <w:name w:val="样式2"/>
    <w:basedOn w:val="8"/>
    <w:autoRedefine/>
    <w:qFormat/>
    <w:uiPriority w:val="0"/>
    <w:pPr>
      <w:tabs>
        <w:tab w:val="right" w:leader="dot" w:pos="9458"/>
      </w:tabs>
    </w:pPr>
    <w:rPr>
      <w:rFonts w:ascii="Arial" w:cs="Arial"/>
      <w:i/>
    </w:rPr>
  </w:style>
  <w:style w:type="paragraph" w:customStyle="1" w:styleId="367">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8">
    <w:name w:val="l2"/>
    <w:basedOn w:val="1"/>
    <w:autoRedefine/>
    <w:qFormat/>
    <w:uiPriority w:val="0"/>
    <w:pPr>
      <w:keepLines/>
      <w:widowControl/>
      <w:spacing w:beforeLines="50" w:afterLines="50" w:line="300" w:lineRule="auto"/>
    </w:pPr>
    <w:rPr>
      <w:rFonts w:ascii="Arial" w:hAnsi="Arial"/>
      <w:bCs/>
    </w:rPr>
  </w:style>
  <w:style w:type="paragraph" w:customStyle="1" w:styleId="369">
    <w:name w:val="样式5"/>
    <w:basedOn w:val="370"/>
    <w:next w:val="370"/>
    <w:autoRedefine/>
    <w:qFormat/>
    <w:uiPriority w:val="0"/>
    <w:pPr>
      <w:tabs>
        <w:tab w:val="right" w:leader="dot" w:pos="9458"/>
      </w:tabs>
    </w:pPr>
  </w:style>
  <w:style w:type="paragraph" w:customStyle="1" w:styleId="370">
    <w:name w:val="样式4"/>
    <w:basedOn w:val="35"/>
    <w:autoRedefine/>
    <w:qFormat/>
    <w:uiPriority w:val="0"/>
    <w:pPr>
      <w:tabs>
        <w:tab w:val="right" w:leader="dot" w:pos="9458"/>
      </w:tabs>
    </w:pPr>
    <w:rPr>
      <w:b w:val="0"/>
    </w:rPr>
  </w:style>
  <w:style w:type="paragraph" w:customStyle="1" w:styleId="371">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2">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3">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4">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5">
    <w:name w:val="Table Body"/>
    <w:basedOn w:val="1"/>
    <w:autoRedefine/>
    <w:qFormat/>
    <w:uiPriority w:val="0"/>
    <w:pPr>
      <w:widowControl/>
      <w:jc w:val="center"/>
    </w:pPr>
    <w:rPr>
      <w:rFonts w:ascii="Arial" w:hAnsi="Arial"/>
      <w:snapToGrid w:val="0"/>
      <w:kern w:val="0"/>
      <w:sz w:val="18"/>
      <w:szCs w:val="20"/>
    </w:rPr>
  </w:style>
  <w:style w:type="paragraph" w:customStyle="1" w:styleId="376">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8">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9">
    <w:name w:val="签名 - 公司"/>
    <w:basedOn w:val="34"/>
    <w:next w:val="380"/>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80">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1">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2">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3">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4">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5">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6">
    <w:name w:val="正文缩进1"/>
    <w:basedOn w:val="1"/>
    <w:autoRedefine/>
    <w:qFormat/>
    <w:uiPriority w:val="0"/>
    <w:pPr>
      <w:ind w:firstLine="567"/>
    </w:pPr>
    <w:rPr>
      <w:spacing w:val="20"/>
      <w:sz w:val="24"/>
      <w:szCs w:val="20"/>
    </w:rPr>
  </w:style>
  <w:style w:type="paragraph" w:customStyle="1" w:styleId="387">
    <w:name w:val="_正文"/>
    <w:basedOn w:val="1"/>
    <w:autoRedefine/>
    <w:qFormat/>
    <w:uiPriority w:val="99"/>
    <w:pPr>
      <w:spacing w:line="360" w:lineRule="auto"/>
      <w:ind w:firstLine="200" w:firstLineChars="200"/>
    </w:pPr>
    <w:rPr>
      <w:rFonts w:ascii="宋体" w:hAnsi="宋体"/>
      <w:sz w:val="24"/>
    </w:rPr>
  </w:style>
  <w:style w:type="paragraph" w:customStyle="1" w:styleId="388">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9">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90">
    <w:name w:val="_Style 15"/>
    <w:basedOn w:val="1"/>
    <w:autoRedefine/>
    <w:qFormat/>
    <w:uiPriority w:val="0"/>
  </w:style>
  <w:style w:type="paragraph" w:customStyle="1" w:styleId="39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2">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3">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4">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5">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6">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7">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8">
    <w:name w:val="样式"/>
    <w:basedOn w:val="1"/>
    <w:next w:val="24"/>
    <w:autoRedefine/>
    <w:qFormat/>
    <w:uiPriority w:val="0"/>
    <w:pPr>
      <w:ind w:left="572" w:right="32" w:firstLine="478"/>
    </w:pPr>
    <w:rPr>
      <w:szCs w:val="21"/>
    </w:rPr>
  </w:style>
  <w:style w:type="paragraph" w:customStyle="1" w:styleId="399">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400">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1">
    <w:name w:val="图表"/>
    <w:basedOn w:val="1"/>
    <w:autoRedefine/>
    <w:qFormat/>
    <w:uiPriority w:val="0"/>
    <w:pPr>
      <w:spacing w:line="360" w:lineRule="auto"/>
      <w:ind w:hanging="420"/>
      <w:jc w:val="center"/>
    </w:pPr>
    <w:rPr>
      <w:sz w:val="24"/>
      <w:szCs w:val="20"/>
    </w:rPr>
  </w:style>
  <w:style w:type="paragraph" w:customStyle="1" w:styleId="402">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3">
    <w:name w:val="正文_0"/>
    <w:basedOn w:val="1"/>
    <w:autoRedefine/>
    <w:qFormat/>
    <w:uiPriority w:val="0"/>
  </w:style>
  <w:style w:type="paragraph" w:customStyle="1" w:styleId="404">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5">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6">
    <w:name w:val="简单回函地址"/>
    <w:basedOn w:val="1"/>
    <w:autoRedefine/>
    <w:qFormat/>
    <w:uiPriority w:val="0"/>
  </w:style>
  <w:style w:type="paragraph" w:customStyle="1" w:styleId="407">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8">
    <w:name w:val="样式3"/>
    <w:basedOn w:val="8"/>
    <w:autoRedefine/>
    <w:qFormat/>
    <w:uiPriority w:val="0"/>
    <w:pPr>
      <w:tabs>
        <w:tab w:val="right" w:leader="dot" w:pos="9458"/>
      </w:tabs>
    </w:pPr>
    <w:rPr>
      <w:i/>
    </w:rPr>
  </w:style>
  <w:style w:type="paragraph" w:customStyle="1" w:styleId="409">
    <w:name w:val="msolistparagraph"/>
    <w:basedOn w:val="1"/>
    <w:autoRedefine/>
    <w:qFormat/>
    <w:uiPriority w:val="0"/>
    <w:pPr>
      <w:ind w:firstLine="420" w:firstLineChars="200"/>
    </w:pPr>
    <w:rPr>
      <w:rFonts w:ascii="Calibri" w:hAnsi="Calibri"/>
      <w:szCs w:val="22"/>
    </w:rPr>
  </w:style>
  <w:style w:type="paragraph" w:customStyle="1" w:styleId="410">
    <w:name w:val="Char Char16 Char Char"/>
    <w:basedOn w:val="1"/>
    <w:autoRedefine/>
    <w:qFormat/>
    <w:uiPriority w:val="0"/>
    <w:rPr>
      <w:rFonts w:ascii="Tahoma" w:hAnsi="Tahoma"/>
      <w:sz w:val="24"/>
      <w:szCs w:val="20"/>
    </w:rPr>
  </w:style>
  <w:style w:type="paragraph" w:customStyle="1" w:styleId="411">
    <w:name w:val="正文内容"/>
    <w:basedOn w:val="1"/>
    <w:autoRedefine/>
    <w:qFormat/>
    <w:uiPriority w:val="0"/>
    <w:rPr>
      <w:rFonts w:ascii="Arial" w:hAnsi="Arial"/>
      <w:spacing w:val="-12"/>
      <w:szCs w:val="20"/>
    </w:rPr>
  </w:style>
  <w:style w:type="paragraph" w:customStyle="1" w:styleId="412">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3">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4">
    <w:name w:val="WPSOffice手动目录 1"/>
    <w:autoRedefine/>
    <w:qFormat/>
    <w:uiPriority w:val="0"/>
    <w:rPr>
      <w:rFonts w:ascii="Times New Roman" w:hAnsi="Times New Roman" w:eastAsia="宋体" w:cs="Times New Roman"/>
      <w:lang w:val="en-US" w:eastAsia="zh-CN" w:bidi="ar-SA"/>
    </w:rPr>
  </w:style>
  <w:style w:type="paragraph" w:customStyle="1" w:styleId="415">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6">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8">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9">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0">
    <w:name w:val="Char1 Char Char Char Char Char Char Char Char"/>
    <w:basedOn w:val="1"/>
    <w:autoRedefine/>
    <w:qFormat/>
    <w:uiPriority w:val="0"/>
  </w:style>
  <w:style w:type="paragraph" w:customStyle="1" w:styleId="421">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2">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标题5"/>
    <w:basedOn w:val="1"/>
    <w:autoRedefine/>
    <w:qFormat/>
    <w:uiPriority w:val="0"/>
    <w:pPr>
      <w:spacing w:before="120" w:after="120"/>
    </w:pPr>
    <w:rPr>
      <w:rFonts w:ascii="宋体"/>
      <w:b/>
      <w:sz w:val="28"/>
    </w:rPr>
  </w:style>
  <w:style w:type="paragraph" w:customStyle="1" w:styleId="424">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5">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6">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7">
    <w:name w:val="Char4"/>
    <w:basedOn w:val="1"/>
    <w:autoRedefine/>
    <w:qFormat/>
    <w:uiPriority w:val="0"/>
    <w:pPr>
      <w:ind w:left="980" w:hanging="420"/>
    </w:pPr>
    <w:rPr>
      <w:sz w:val="24"/>
    </w:rPr>
  </w:style>
  <w:style w:type="paragraph" w:customStyle="1" w:styleId="428">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9">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30">
    <w:name w:val="样式 首行缩进:  0.85 厘米"/>
    <w:basedOn w:val="1"/>
    <w:autoRedefine/>
    <w:qFormat/>
    <w:uiPriority w:val="0"/>
    <w:pPr>
      <w:ind w:firstLine="480" w:firstLineChars="200"/>
    </w:pPr>
    <w:rPr>
      <w:rFonts w:cs="宋体"/>
      <w:szCs w:val="20"/>
    </w:rPr>
  </w:style>
  <w:style w:type="paragraph" w:customStyle="1" w:styleId="431">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3">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4">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5">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9">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5">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6">
    <w:name w:val="列出段落 Char"/>
    <w:link w:val="457"/>
    <w:autoRedefine/>
    <w:qFormat/>
    <w:uiPriority w:val="34"/>
    <w:rPr>
      <w:kern w:val="2"/>
      <w:sz w:val="21"/>
      <w:szCs w:val="24"/>
    </w:rPr>
  </w:style>
  <w:style w:type="paragraph" w:styleId="457">
    <w:name w:val="List Paragraph"/>
    <w:basedOn w:val="1"/>
    <w:link w:val="456"/>
    <w:autoRedefine/>
    <w:qFormat/>
    <w:uiPriority w:val="34"/>
    <w:pPr>
      <w:ind w:firstLine="420" w:firstLineChars="200"/>
    </w:pPr>
  </w:style>
  <w:style w:type="paragraph" w:customStyle="1" w:styleId="458">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9">
    <w:name w:val="评价"/>
    <w:basedOn w:val="1"/>
    <w:autoRedefine/>
    <w:qFormat/>
    <w:uiPriority w:val="0"/>
    <w:pPr>
      <w:spacing w:afterLines="20"/>
      <w:ind w:firstLine="1446" w:firstLineChars="200"/>
    </w:pPr>
    <w:rPr>
      <w:rFonts w:ascii="Calibri" w:hAnsi="Calibri"/>
      <w:sz w:val="24"/>
    </w:rPr>
  </w:style>
  <w:style w:type="character" w:customStyle="1" w:styleId="460">
    <w:name w:val="正文文本 3 Char"/>
    <w:basedOn w:val="53"/>
    <w:link w:val="20"/>
    <w:autoRedefine/>
    <w:qFormat/>
    <w:uiPriority w:val="0"/>
    <w:rPr>
      <w:kern w:val="2"/>
      <w:sz w:val="16"/>
      <w:szCs w:val="16"/>
    </w:rPr>
  </w:style>
  <w:style w:type="character" w:customStyle="1" w:styleId="461">
    <w:name w:val="content"/>
    <w:basedOn w:val="53"/>
    <w:autoRedefine/>
    <w:qFormat/>
    <w:uiPriority w:val="0"/>
  </w:style>
  <w:style w:type="character" w:customStyle="1" w:styleId="462">
    <w:name w:val="ca-3"/>
    <w:basedOn w:val="53"/>
    <w:autoRedefine/>
    <w:qFormat/>
    <w:uiPriority w:val="0"/>
  </w:style>
  <w:style w:type="character" w:customStyle="1" w:styleId="463">
    <w:name w:val="textcontents1"/>
    <w:autoRedefine/>
    <w:qFormat/>
    <w:uiPriority w:val="0"/>
    <w:rPr>
      <w:rFonts w:hint="default" w:ascii="ˎ̥" w:hAnsi="ˎ̥"/>
      <w:sz w:val="21"/>
      <w:szCs w:val="21"/>
    </w:rPr>
  </w:style>
  <w:style w:type="character" w:customStyle="1" w:styleId="464">
    <w:name w:val="脚注文本 Char1"/>
    <w:autoRedefine/>
    <w:qFormat/>
    <w:uiPriority w:val="0"/>
    <w:rPr>
      <w:kern w:val="2"/>
      <w:sz w:val="18"/>
      <w:szCs w:val="18"/>
    </w:rPr>
  </w:style>
  <w:style w:type="character" w:customStyle="1" w:styleId="465">
    <w:name w:val="脚注文本 Char"/>
    <w:link w:val="39"/>
    <w:autoRedefine/>
    <w:qFormat/>
    <w:uiPriority w:val="0"/>
    <w:rPr>
      <w:kern w:val="2"/>
      <w:sz w:val="18"/>
      <w:szCs w:val="18"/>
    </w:rPr>
  </w:style>
  <w:style w:type="character" w:customStyle="1" w:styleId="466">
    <w:name w:val="正文首行缩进（绿盟科技） Char"/>
    <w:link w:val="467"/>
    <w:autoRedefine/>
    <w:qFormat/>
    <w:uiPriority w:val="0"/>
    <w:rPr>
      <w:rFonts w:ascii="Arial" w:hAnsi="Arial"/>
      <w:szCs w:val="21"/>
    </w:rPr>
  </w:style>
  <w:style w:type="paragraph" w:customStyle="1" w:styleId="467">
    <w:name w:val="正文首行缩进（绿盟科技）"/>
    <w:basedOn w:val="1"/>
    <w:link w:val="466"/>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8">
    <w:name w:val="c lh15"/>
    <w:basedOn w:val="53"/>
    <w:autoRedefine/>
    <w:qFormat/>
    <w:uiPriority w:val="0"/>
  </w:style>
  <w:style w:type="character" w:customStyle="1" w:styleId="469">
    <w:name w:val="Char Char21"/>
    <w:autoRedefine/>
    <w:qFormat/>
    <w:uiPriority w:val="0"/>
    <w:rPr>
      <w:b/>
      <w:bCs/>
      <w:kern w:val="2"/>
      <w:sz w:val="32"/>
      <w:szCs w:val="32"/>
    </w:rPr>
  </w:style>
  <w:style w:type="character" w:customStyle="1" w:styleId="470">
    <w:name w:val="content1"/>
    <w:autoRedefine/>
    <w:qFormat/>
    <w:uiPriority w:val="0"/>
    <w:rPr>
      <w:rFonts w:hint="default" w:ascii="??" w:hAnsi="??"/>
      <w:sz w:val="16"/>
      <w:szCs w:val="16"/>
      <w:u w:val="none"/>
    </w:rPr>
  </w:style>
  <w:style w:type="character" w:customStyle="1" w:styleId="471">
    <w:name w:val="text21"/>
    <w:basedOn w:val="53"/>
    <w:autoRedefine/>
    <w:qFormat/>
    <w:uiPriority w:val="0"/>
  </w:style>
  <w:style w:type="character" w:customStyle="1" w:styleId="472">
    <w:name w:val="apple-style-span"/>
    <w:basedOn w:val="53"/>
    <w:autoRedefine/>
    <w:qFormat/>
    <w:uiPriority w:val="0"/>
  </w:style>
  <w:style w:type="paragraph" w:customStyle="1" w:styleId="473">
    <w:name w:val="缺省文本"/>
    <w:basedOn w:val="1"/>
    <w:autoRedefine/>
    <w:qFormat/>
    <w:uiPriority w:val="0"/>
    <w:pPr>
      <w:autoSpaceDE w:val="0"/>
      <w:autoSpaceDN w:val="0"/>
      <w:adjustRightInd w:val="0"/>
      <w:jc w:val="left"/>
    </w:pPr>
    <w:rPr>
      <w:kern w:val="0"/>
      <w:sz w:val="24"/>
    </w:rPr>
  </w:style>
  <w:style w:type="paragraph" w:customStyle="1" w:styleId="474">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5">
    <w:name w:val="1"/>
    <w:basedOn w:val="1"/>
    <w:next w:val="27"/>
    <w:autoRedefine/>
    <w:qFormat/>
    <w:uiPriority w:val="0"/>
    <w:rPr>
      <w:rFonts w:ascii="宋体" w:hAnsi="Courier New"/>
      <w:szCs w:val="20"/>
    </w:rPr>
  </w:style>
  <w:style w:type="paragraph" w:customStyle="1" w:styleId="476">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7">
    <w:name w:val="Char Char Char Char Char Char Char1"/>
    <w:basedOn w:val="1"/>
    <w:autoRedefine/>
    <w:qFormat/>
    <w:uiPriority w:val="0"/>
    <w:pPr>
      <w:widowControl/>
      <w:spacing w:after="160" w:line="240" w:lineRule="exact"/>
      <w:jc w:val="left"/>
    </w:pPr>
  </w:style>
  <w:style w:type="paragraph" w:customStyle="1" w:styleId="478">
    <w:name w:val="USE 1"/>
    <w:basedOn w:val="1"/>
    <w:autoRedefine/>
    <w:qFormat/>
    <w:uiPriority w:val="0"/>
    <w:pPr>
      <w:spacing w:line="200" w:lineRule="atLeast"/>
      <w:jc w:val="left"/>
    </w:pPr>
    <w:rPr>
      <w:rFonts w:ascii="宋体" w:hAnsi="宋体"/>
      <w:b/>
      <w:sz w:val="24"/>
      <w:szCs w:val="28"/>
    </w:rPr>
  </w:style>
  <w:style w:type="paragraph" w:customStyle="1" w:styleId="479">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80">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1">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2">
    <w:name w:val="_Style 54"/>
    <w:basedOn w:val="1"/>
    <w:next w:val="27"/>
    <w:autoRedefine/>
    <w:qFormat/>
    <w:uiPriority w:val="0"/>
    <w:rPr>
      <w:rFonts w:ascii="宋体" w:hAnsi="Courier New"/>
      <w:szCs w:val="20"/>
    </w:rPr>
  </w:style>
  <w:style w:type="character" w:customStyle="1" w:styleId="483">
    <w:name w:val="脚注文本 Char2"/>
    <w:basedOn w:val="53"/>
    <w:autoRedefine/>
    <w:semiHidden/>
    <w:qFormat/>
    <w:uiPriority w:val="0"/>
    <w:rPr>
      <w:kern w:val="2"/>
      <w:sz w:val="18"/>
      <w:szCs w:val="18"/>
    </w:rPr>
  </w:style>
  <w:style w:type="paragraph" w:customStyle="1" w:styleId="484">
    <w:name w:val="_Style 56"/>
    <w:basedOn w:val="1"/>
    <w:next w:val="27"/>
    <w:autoRedefine/>
    <w:qFormat/>
    <w:uiPriority w:val="0"/>
    <w:rPr>
      <w:rFonts w:ascii="宋体" w:hAnsi="Courier New"/>
      <w:szCs w:val="20"/>
    </w:rPr>
  </w:style>
  <w:style w:type="paragraph" w:customStyle="1" w:styleId="485">
    <w:name w:val="Char Char Char Char2"/>
    <w:basedOn w:val="1"/>
    <w:autoRedefine/>
    <w:qFormat/>
    <w:uiPriority w:val="0"/>
    <w:pPr>
      <w:widowControl/>
      <w:spacing w:after="160" w:line="240" w:lineRule="exact"/>
      <w:jc w:val="center"/>
    </w:pPr>
  </w:style>
  <w:style w:type="paragraph" w:customStyle="1" w:styleId="486">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7">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8">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9">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90">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1">
    <w:name w:val="Char2 Char Char Char Char Char Char"/>
    <w:basedOn w:val="1"/>
    <w:autoRedefine/>
    <w:qFormat/>
    <w:uiPriority w:val="0"/>
    <w:pPr>
      <w:widowControl/>
      <w:spacing w:after="160" w:line="240" w:lineRule="exact"/>
      <w:jc w:val="left"/>
    </w:pPr>
  </w:style>
  <w:style w:type="paragraph" w:customStyle="1" w:styleId="492">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3">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4">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5">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6">
    <w:name w:val="5"/>
    <w:basedOn w:val="1"/>
    <w:next w:val="27"/>
    <w:autoRedefine/>
    <w:qFormat/>
    <w:uiPriority w:val="0"/>
    <w:rPr>
      <w:rFonts w:ascii="宋体" w:hAnsi="Courier New"/>
      <w:szCs w:val="20"/>
    </w:rPr>
  </w:style>
  <w:style w:type="paragraph" w:customStyle="1" w:styleId="497">
    <w:name w:val="Char Char Char"/>
    <w:basedOn w:val="1"/>
    <w:autoRedefine/>
    <w:qFormat/>
    <w:uiPriority w:val="0"/>
    <w:rPr>
      <w:szCs w:val="20"/>
    </w:rPr>
  </w:style>
  <w:style w:type="paragraph" w:customStyle="1" w:styleId="498">
    <w:name w:val="Char2"/>
    <w:basedOn w:val="1"/>
    <w:autoRedefine/>
    <w:qFormat/>
    <w:uiPriority w:val="0"/>
    <w:rPr>
      <w:rFonts w:ascii="Tahoma" w:hAnsi="Tahoma"/>
      <w:sz w:val="24"/>
      <w:szCs w:val="20"/>
    </w:rPr>
  </w:style>
  <w:style w:type="paragraph" w:customStyle="1" w:styleId="499">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1">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2">
    <w:name w:val="6"/>
    <w:basedOn w:val="1"/>
    <w:next w:val="27"/>
    <w:autoRedefine/>
    <w:qFormat/>
    <w:uiPriority w:val="0"/>
    <w:rPr>
      <w:rFonts w:ascii="宋体" w:hAnsi="Courier New"/>
      <w:szCs w:val="20"/>
    </w:rPr>
  </w:style>
  <w:style w:type="paragraph" w:customStyle="1" w:styleId="503">
    <w:name w:val="2"/>
    <w:basedOn w:val="1"/>
    <w:next w:val="46"/>
    <w:autoRedefine/>
    <w:qFormat/>
    <w:uiPriority w:val="0"/>
    <w:pPr>
      <w:widowControl/>
      <w:spacing w:before="100" w:beforeAutospacing="1" w:after="100" w:afterAutospacing="1"/>
      <w:jc w:val="left"/>
    </w:pPr>
    <w:rPr>
      <w:rFonts w:ascii="宋体" w:hAnsi="宋体"/>
      <w:kern w:val="0"/>
      <w:sz w:val="24"/>
    </w:rPr>
  </w:style>
  <w:style w:type="paragraph" w:customStyle="1" w:styleId="504">
    <w:name w:val="7"/>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505">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6">
    <w:name w:val="TOC 标题2"/>
    <w:basedOn w:val="2"/>
    <w:next w:val="1"/>
    <w:autoRedefine/>
    <w:unhideWhenUsed/>
    <w:qFormat/>
    <w:uiPriority w:val="39"/>
    <w:pPr>
      <w:widowControl/>
      <w:spacing w:before="0" w:after="0" w:line="276" w:lineRule="auto"/>
      <w:outlineLvl w:val="9"/>
    </w:pPr>
    <w:rPr>
      <w:rFonts w:asciiTheme="majorHAnsi" w:hAnsiTheme="majorHAnsi" w:eastAsiaTheme="majorEastAsia" w:cstheme="majorBidi"/>
      <w:bCs/>
      <w:kern w:val="0"/>
      <w:lang w:val="zh-CN"/>
    </w:rPr>
  </w:style>
  <w:style w:type="character" w:customStyle="1" w:styleId="507">
    <w:name w:val="纯文本 Char2"/>
    <w:autoRedefine/>
    <w:qFormat/>
    <w:uiPriority w:val="99"/>
    <w:rPr>
      <w:rFonts w:ascii="宋体" w:hAnsi="Courier New"/>
      <w:kern w:val="2"/>
      <w:sz w:val="21"/>
    </w:rPr>
  </w:style>
  <w:style w:type="paragraph" w:styleId="508">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09">
    <w:name w:val="修订3"/>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修订4"/>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511">
    <w:name w:val="10"/>
    <w:basedOn w:val="53"/>
    <w:autoRedefine/>
    <w:qFormat/>
    <w:uiPriority w:val="0"/>
    <w:rPr>
      <w:rFonts w:hint="default" w:ascii="Times New Roman" w:hAnsi="Times New Roman" w:cs="Times New Roman"/>
    </w:rPr>
  </w:style>
  <w:style w:type="character" w:customStyle="1" w:styleId="512">
    <w:name w:val="15"/>
    <w:basedOn w:val="53"/>
    <w:autoRedefine/>
    <w:qFormat/>
    <w:uiPriority w:val="0"/>
    <w:rPr>
      <w:rFonts w:hint="default" w:ascii="Times New Roman" w:hAnsi="Times New Roman" w:cs="Times New Roman"/>
    </w:rPr>
  </w:style>
  <w:style w:type="paragraph" w:customStyle="1" w:styleId="513">
    <w:name w:val="样式 26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4">
    <w:name w:val="样式 25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5">
    <w:name w:val="样式 24 10 磅"/>
    <w:autoRedefine/>
    <w:qFormat/>
    <w:uiPriority w:val="0"/>
    <w:pPr>
      <w:widowControl w:val="0"/>
      <w:jc w:val="both"/>
    </w:pPr>
    <w:rPr>
      <w:rFonts w:ascii="Calibri" w:hAnsi="Calibri" w:eastAsia="宋体" w:cs="Times New Roman"/>
      <w:kern w:val="2"/>
      <w:sz w:val="21"/>
      <w:szCs w:val="28"/>
      <w:lang w:val="en-US" w:eastAsia="zh-CN" w:bidi="ar-SA"/>
    </w:rPr>
  </w:style>
  <w:style w:type="paragraph" w:customStyle="1" w:styleId="516">
    <w:name w:val="样式 23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7">
    <w:name w:val="样式 22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8">
    <w:name w:val="样式 21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19">
    <w:name w:val="样式 20 10 磅"/>
    <w:next w:val="1"/>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0">
    <w:name w:val="样式 19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1">
    <w:name w:val="样式 18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2">
    <w:name w:val="样式 17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3">
    <w:name w:val="样式 16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4">
    <w:name w:val="样式 15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5">
    <w:name w:val="样式 14 10 磅"/>
    <w:next w:val="1"/>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6">
    <w:name w:val="样式 13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7">
    <w:name w:val="样式 12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8">
    <w:name w:val="样式 11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29">
    <w:name w:val="样式 10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0">
    <w:name w:val="样式 9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1">
    <w:name w:val="样式 8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2">
    <w:name w:val="样式 7 10 磅"/>
    <w:autoRedefine/>
    <w:qFormat/>
    <w:uiPriority w:val="0"/>
    <w:pPr>
      <w:widowControl w:val="0"/>
      <w:jc w:val="both"/>
    </w:pPr>
    <w:rPr>
      <w:rFonts w:ascii="宋体" w:hAnsi="Times New Roman" w:eastAsia="宋体" w:cs="Times New Roman"/>
      <w:kern w:val="2"/>
      <w:sz w:val="21"/>
      <w:szCs w:val="21"/>
      <w:lang w:val="en-US" w:eastAsia="zh-CN" w:bidi="ar-SA"/>
    </w:rPr>
  </w:style>
  <w:style w:type="paragraph" w:customStyle="1" w:styleId="533">
    <w:name w:val="样式 47 10 磅"/>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34">
    <w:name w:val="样式 507 10 磅"/>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5">
    <w:name w:val="样式 46 10 磅"/>
    <w:next w:val="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36">
    <w:name w:val="样式 44 10 磅"/>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7">
    <w:name w:val="样式 34 10 磅"/>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9">
    <w:name w:val="正文_103"/>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0">
    <w:name w:val="样式 3 三号"/>
    <w:autoRedefine/>
    <w:qFormat/>
    <w:uiPriority w:val="0"/>
    <w:pPr>
      <w:keepNext/>
      <w:keepLines/>
      <w:spacing w:before="340" w:line="259" w:lineRule="auto"/>
    </w:pPr>
    <w:rPr>
      <w:rFonts w:ascii="等线 Light" w:hAnsi="Times New Roman" w:eastAsia="等线 Light" w:cs="Times New Roman"/>
      <w:color w:val="2E74B5"/>
      <w:kern w:val="2"/>
      <w:sz w:val="32"/>
      <w:szCs w:val="32"/>
      <w:lang w:val="en-US" w:eastAsia="zh-CN" w:bidi="ar-SA"/>
    </w:rPr>
  </w:style>
  <w:style w:type="paragraph" w:customStyle="1" w:styleId="541">
    <w:name w:val="正文_23"/>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2">
    <w:name w:val="样式 505 10 磅"/>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3">
    <w:name w:val="正文_90"/>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4">
    <w:name w:val="正文_93"/>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5">
    <w:name w:val="正文_94"/>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6">
    <w:name w:val="正文_32"/>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7">
    <w:name w:val="正文_18"/>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48">
    <w:name w:val="正文_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9">
    <w:name w:val="正文_3"/>
    <w:autoRedefine/>
    <w:qFormat/>
    <w:uiPriority w:val="0"/>
    <w:pPr>
      <w:widowControl w:val="0"/>
      <w:spacing w:line="360" w:lineRule="auto"/>
      <w:jc w:val="both"/>
    </w:pPr>
    <w:rPr>
      <w:rFonts w:ascii="Times New Roman" w:hAnsi="Times New Roman" w:eastAsia="宋体" w:cs="Times New Roman"/>
      <w:kern w:val="2"/>
      <w:sz w:val="21"/>
      <w:szCs w:val="22"/>
      <w:lang w:val="en-US" w:eastAsia="zh-CN" w:bidi="ar-SA"/>
    </w:rPr>
  </w:style>
  <w:style w:type="paragraph" w:customStyle="1" w:styleId="550">
    <w:name w:val="正文_114"/>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1">
    <w:name w:val="正文_109"/>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2">
    <w:name w:val="正文_130"/>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3">
    <w:name w:val="正文_101"/>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4">
    <w:name w:val="样式 2 三号_17"/>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5">
    <w:name w:val="正文_60"/>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6">
    <w:name w:val="正文_50"/>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7">
    <w:name w:val="正文_66"/>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58">
    <w:name w:val="样式 30 10 磅"/>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9">
    <w:name w:val="样式 35 10 磅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0">
    <w:name w:val="样式 36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1">
    <w:name w:val="样式 37 10 磅"/>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2">
    <w:name w:val="样式 39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3">
    <w:name w:val="样式 40 10 磅"/>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4">
    <w:name w:val="样式 41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5">
    <w:name w:val="正文_152"/>
    <w:autoRedefine/>
    <w:qFormat/>
    <w:uiPriority w:val="0"/>
    <w:pPr>
      <w:widowControl w:val="0"/>
      <w:jc w:val="both"/>
    </w:pPr>
    <w:rPr>
      <w:rFonts w:ascii="Times New Roman" w:hAnsi="Times New Roman" w:eastAsia="方正仿宋_GBK" w:cs="Times New Roman"/>
      <w:kern w:val="2"/>
      <w:sz w:val="32"/>
      <w:lang w:val="en-US" w:eastAsia="zh-CN" w:bidi="ar-SA"/>
    </w:rPr>
  </w:style>
  <w:style w:type="paragraph" w:customStyle="1" w:styleId="566">
    <w:name w:val="样式 31 10 磅"/>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7">
    <w:name w:val="样式 38 10 磅"/>
    <w:next w:val="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8">
    <w:name w:val="样式 42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9">
    <w:name w:val="样式 27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70">
    <w:name w:val="样式 28 10 磅"/>
    <w:next w:val="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71">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572">
    <w:name w:val="样式 57 10 磅"/>
    <w:qFormat/>
    <w:uiPriority w:val="0"/>
    <w:pPr>
      <w:widowControl w:val="0"/>
      <w:jc w:val="both"/>
    </w:pPr>
    <w:rPr>
      <w:rFonts w:ascii="Calibri" w:hAnsi="Calibri" w:eastAsia="宋体" w:cs="Arial"/>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78</Pages>
  <Words>18267</Words>
  <Characters>18964</Characters>
  <Lines>350</Lines>
  <Paragraphs>98</Paragraphs>
  <TotalTime>0</TotalTime>
  <ScaleCrop>false</ScaleCrop>
  <LinksUpToDate>false</LinksUpToDate>
  <CharactersWithSpaces>19363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2026-02-27T01:44:00Z</dcterms:created>
  <dc:creator>微软用户</dc:creator>
  <cp:lastModifiedBy>中正招标林丹呈</cp:lastModifiedBy>
  <cp:lastPrinted>2026-02-12T11:15:00Z</cp:lastPrinted>
  <dcterms:modified xsi:type="dcterms:W3CDTF">2026-02-28T10:50:31Z</dcterms:modified>
  <dc:title>招标编号：UHO2010-G0029</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533D3B8E1E634FFDB38CCD486486026B_13</vt:lpwstr>
  </property>
  <property fmtid="{D5CDD505-2E9C-101B-9397-08002B2CF9AE}" pid="4" name="KSOTemplateDocerSaveRecord">
    <vt:lpwstr>eyJoZGlkIjoiZWM2YmRlNDU3NGEzNjI1NDQyMDllNWVlNzk1MzhhMzIiLCJ1c2VySWQiOiIzMTEwMDM1OTIifQ==</vt:lpwstr>
  </property>
</Properties>
</file>